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689"/>
        <w:gridCol w:w="5233"/>
        <w:gridCol w:w="239"/>
        <w:gridCol w:w="163"/>
        <w:gridCol w:w="4132"/>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vAlign w:val="center"/>
          </w:tcPr>
          <w:p w14:paraId="4F9450A3" w14:textId="735BA851" w:rsidR="00093CA9" w:rsidRDefault="003D48C1" w:rsidP="00093CA9">
            <w:r>
              <w:t>SSEK</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vAlign w:val="center"/>
          </w:tcPr>
          <w:p w14:paraId="12C9C9CE" w14:textId="77777777" w:rsidR="00093CA9" w:rsidRDefault="00093CA9" w:rsidP="00093CA9"/>
        </w:tc>
        <w:tc>
          <w:tcPr>
            <w:tcW w:w="9169" w:type="dxa"/>
            <w:gridSpan w:val="4"/>
            <w:vAlign w:val="center"/>
          </w:tcPr>
          <w:p w14:paraId="624F8F71" w14:textId="13215AA4" w:rsidR="00093CA9" w:rsidRDefault="003D48C1" w:rsidP="00093CA9">
            <w:r>
              <w:t>Indonesia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vAlign w:val="center"/>
          </w:tcPr>
          <w:p w14:paraId="313A697B" w14:textId="58400BFB" w:rsidR="00093CA9" w:rsidRDefault="00E33F26" w:rsidP="00093CA9">
            <w:r w:rsidRPr="00E33F26">
              <w:t>Financial Services Authority Regulation No. 18 of 2023 on the Issuance and Requirements for Debt Securities and Sukuk Based on Sustainability</w:t>
            </w:r>
            <w:r w:rsidR="004B5AE8">
              <w:t xml:space="preserve"> (“</w:t>
            </w:r>
            <w:r w:rsidR="004B5AE8" w:rsidRPr="004B5AE8">
              <w:rPr>
                <w:b/>
                <w:bCs/>
              </w:rPr>
              <w:t>POJK No. 18/2023</w:t>
            </w:r>
            <w:r w:rsidR="004B5AE8">
              <w:t>”)</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vAlign w:val="center"/>
          </w:tcPr>
          <w:p w14:paraId="04C859A5" w14:textId="77777777" w:rsidR="00093CA9" w:rsidRDefault="00093CA9" w:rsidP="00093CA9"/>
        </w:tc>
        <w:tc>
          <w:tcPr>
            <w:tcW w:w="9169" w:type="dxa"/>
            <w:gridSpan w:val="4"/>
            <w:vAlign w:val="center"/>
          </w:tcPr>
          <w:p w14:paraId="1523C232" w14:textId="74BA8A69" w:rsidR="00093CA9" w:rsidRDefault="00926BF1" w:rsidP="00093CA9">
            <w:hyperlink r:id="rId17" w:history="1">
              <w:r w:rsidRPr="0019546C">
                <w:rPr>
                  <w:rStyle w:val="Hyperlink"/>
                </w:rPr>
                <w:t>https://web.archive.org/web/20250730024930/https://keuanganberkelanjutan.ojk.go.id/keuanganberkelanjutan/BE/uploads/peraturanuu/files/file_4d3c77fb-0785-429a-884a-8880b5250e78-23022025115558.pdf</w:t>
              </w:r>
            </w:hyperlink>
            <w:r>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vAlign w:val="center"/>
          </w:tcPr>
          <w:p w14:paraId="4E49657F" w14:textId="77777777"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vAlign w:val="center"/>
          </w:tcPr>
          <w:p w14:paraId="14F96ECD" w14:textId="470B495C" w:rsidR="00093CA9" w:rsidRDefault="00E33F26" w:rsidP="00093CA9">
            <w:r>
              <w:t>X</w:t>
            </w:r>
          </w:p>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vAlign w:val="center"/>
          </w:tcPr>
          <w:p w14:paraId="676670DF" w14:textId="170A1C33"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vAlign w:val="center"/>
          </w:tcPr>
          <w:p w14:paraId="0A5E7122" w14:textId="7777777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vAlign w:val="center"/>
          </w:tcPr>
          <w:p w14:paraId="3C6209F9" w14:textId="77777777" w:rsidR="00093CA9" w:rsidRDefault="00093CA9" w:rsidP="00093CA9"/>
        </w:tc>
        <w:tc>
          <w:tcPr>
            <w:tcW w:w="9169" w:type="dxa"/>
            <w:gridSpan w:val="4"/>
            <w:vAlign w:val="center"/>
          </w:tcPr>
          <w:p w14:paraId="07D69803" w14:textId="0BC8A654" w:rsidR="002F561C" w:rsidRPr="002F561C" w:rsidRDefault="002F561C" w:rsidP="002F561C">
            <w:pPr>
              <w:rPr>
                <w:lang w:val="en-ID"/>
              </w:rPr>
            </w:pPr>
            <w:r w:rsidRPr="002F561C">
              <w:rPr>
                <w:lang w:val="en-ID"/>
              </w:rPr>
              <w:t>POJK No. 18/2023 falls within the category of a transition planning policy tool because it expands and strengthens the regulatory framework to guide financial market participants, particularly issuers of debt and sukuk securities (“</w:t>
            </w:r>
            <w:r w:rsidRPr="002F561C">
              <w:rPr>
                <w:b/>
                <w:bCs/>
                <w:lang w:val="en-ID"/>
              </w:rPr>
              <w:t>EBUS</w:t>
            </w:r>
            <w:r w:rsidRPr="002F561C">
              <w:rPr>
                <w:lang w:val="en-ID"/>
              </w:rPr>
              <w:t xml:space="preserve">”), in aligning with environmental objectives, including decarbonization. The regulation forms part of the implementing framework for Indonesia’s sustainable finance roadmap. By replacing </w:t>
            </w:r>
            <w:r w:rsidR="00251840">
              <w:rPr>
                <w:lang w:val="en-ID"/>
              </w:rPr>
              <w:t xml:space="preserve">the </w:t>
            </w:r>
            <w:r w:rsidR="00251840">
              <w:t xml:space="preserve">Regulation of the Financial Services Authority Number 60/POJK.04/2017 on the Issuance and Requirements of Green Bond </w:t>
            </w:r>
            <w:r w:rsidR="00251840">
              <w:rPr>
                <w:lang w:val="en-ID"/>
              </w:rPr>
              <w:t>(“</w:t>
            </w:r>
            <w:r w:rsidRPr="00251840">
              <w:rPr>
                <w:b/>
                <w:bCs/>
                <w:lang w:val="en-ID"/>
              </w:rPr>
              <w:t>POJK 60/2017</w:t>
            </w:r>
            <w:r w:rsidR="00251840">
              <w:rPr>
                <w:lang w:val="en-ID"/>
              </w:rPr>
              <w:t>”)</w:t>
            </w:r>
            <w:r w:rsidRPr="002F561C">
              <w:rPr>
                <w:lang w:val="en-ID"/>
              </w:rPr>
              <w:t xml:space="preserve"> and introducing a broader classification of environmentally oriented EBUS, POJK 18/2023 encourages the financing of sustainable projects.</w:t>
            </w:r>
          </w:p>
          <w:p w14:paraId="18257824" w14:textId="42B4C80F" w:rsidR="00093CA9" w:rsidRPr="004B5AE8" w:rsidRDefault="004B5AE8" w:rsidP="002F561C">
            <w:pPr>
              <w:rPr>
                <w:lang w:val="en-ID"/>
              </w:rPr>
            </w:pPr>
            <w:r w:rsidRPr="004B5AE8">
              <w:rPr>
                <w:lang w:val="en-ID"/>
              </w:rPr>
              <w:t>This reflects core elements of transition planning tools: requiring entities to adopt and communicate decarbonization pathways and potentially implement credible plans to support the green transition. The regulation therefore supports the shift toward a low-carbon economy by shaping capital markets in alignment with sustainability goals.</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vAlign w:val="center"/>
          </w:tcPr>
          <w:p w14:paraId="54354EEF" w14:textId="776550AE" w:rsidR="00093CA9" w:rsidRDefault="002F561C"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vAlign w:val="center"/>
          </w:tcPr>
          <w:p w14:paraId="36DF578D" w14:textId="77777777" w:rsidR="00093CA9" w:rsidRDefault="00093CA9" w:rsidP="00093CA9"/>
        </w:tc>
        <w:tc>
          <w:tcPr>
            <w:tcW w:w="9169" w:type="dxa"/>
            <w:gridSpan w:val="4"/>
            <w:vAlign w:val="center"/>
          </w:tcPr>
          <w:p w14:paraId="312E9D7B" w14:textId="01761408" w:rsidR="00093CA9" w:rsidRDefault="00251840" w:rsidP="002F561C">
            <w:r>
              <w:t>POJK No. 60/2017</w:t>
            </w:r>
            <w:r w:rsidR="002F561C">
              <w:t xml:space="preserve"> is repealed and declared invalid, replaced with POJK No. 18/2023. </w:t>
            </w:r>
          </w:p>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vAlign w:val="center"/>
          </w:tcPr>
          <w:p w14:paraId="22A2FF1A" w14:textId="5E56EA5F" w:rsidR="00093CA9" w:rsidRPr="00173D7C" w:rsidRDefault="002F561C" w:rsidP="00093CA9">
            <w:pPr>
              <w:rPr>
                <w:color w:val="000000" w:themeColor="text1"/>
              </w:rPr>
            </w:pPr>
            <w:r>
              <w:rPr>
                <w:color w:val="000000" w:themeColor="text1"/>
              </w:rPr>
              <w:t>2023</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vAlign w:val="center"/>
          </w:tcPr>
          <w:p w14:paraId="5AD2325B" w14:textId="34387D35" w:rsidR="00093CA9" w:rsidRPr="00173D7C" w:rsidRDefault="00093CA9" w:rsidP="00093CA9">
            <w:pPr>
              <w:rPr>
                <w:color w:val="000000" w:themeColor="text1"/>
              </w:rPr>
            </w:pP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vAlign w:val="center"/>
          </w:tcPr>
          <w:p w14:paraId="1A1B9D26" w14:textId="6EC188FC"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vAlign w:val="center"/>
          </w:tcPr>
          <w:p w14:paraId="212B1951" w14:textId="4C185C9E"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vAlign w:val="center"/>
          </w:tcPr>
          <w:p w14:paraId="7961F236" w14:textId="18F432EB" w:rsidR="00093CA9" w:rsidRDefault="002F561C" w:rsidP="00093CA9">
            <w:r w:rsidRPr="00E33F26">
              <w:t>Financial Services Authority</w:t>
            </w:r>
            <w:r w:rsidR="00251840">
              <w:t xml:space="preserve"> (“</w:t>
            </w:r>
            <w:r w:rsidRPr="00251840">
              <w:rPr>
                <w:b/>
                <w:bCs/>
              </w:rPr>
              <w:t>OJK</w:t>
            </w:r>
            <w:r w:rsidR="00251840">
              <w:t>”)</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572769A5" w:rsidR="00093CA9" w:rsidRPr="006B7B0D" w:rsidRDefault="005570E1" w:rsidP="00093CA9">
            <w:r>
              <w:t>OJK</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19BB7233" w:rsidR="00093CA9" w:rsidRPr="006B7B0D" w:rsidRDefault="0064023C"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lastRenderedPageBreak/>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lastRenderedPageBreak/>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vAlign w:val="center"/>
          </w:tcPr>
          <w:p w14:paraId="42D06D03" w14:textId="79F16830" w:rsidR="00093CA9" w:rsidRDefault="0064023C" w:rsidP="00093CA9">
            <w:r>
              <w:t xml:space="preserve">OJK is the main authority in the issuance and monitoring of the sustainability debt securities or sukuk. </w:t>
            </w:r>
          </w:p>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lastRenderedPageBreak/>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vAlign w:val="center"/>
          </w:tcPr>
          <w:p w14:paraId="54F7EBC8" w14:textId="3D36FBBD" w:rsidR="00093CA9" w:rsidRDefault="0064023C"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vAlign w:val="center"/>
          </w:tcPr>
          <w:p w14:paraId="330E03C1" w14:textId="1EE75105" w:rsidR="0064023C" w:rsidRPr="0064023C" w:rsidRDefault="0064023C" w:rsidP="0064023C">
            <w:pPr>
              <w:keepNext/>
              <w:rPr>
                <w:color w:val="000000" w:themeColor="text1"/>
                <w:lang w:val="en-ID"/>
              </w:rPr>
            </w:pPr>
            <w:r w:rsidRPr="0064023C">
              <w:rPr>
                <w:color w:val="000000" w:themeColor="text1"/>
                <w:lang w:val="en-ID"/>
              </w:rPr>
              <w:t xml:space="preserve">The regulation establishes a monitoring and enforcement system led by the </w:t>
            </w:r>
            <w:r>
              <w:rPr>
                <w:color w:val="000000" w:themeColor="text1"/>
                <w:lang w:val="en-ID"/>
              </w:rPr>
              <w:t>OJK</w:t>
            </w:r>
            <w:r w:rsidRPr="0064023C">
              <w:rPr>
                <w:color w:val="000000" w:themeColor="text1"/>
                <w:lang w:val="en-ID"/>
              </w:rPr>
              <w:t>, which is authorized to impose administrative sanctions on any party that violates its provisions. Sanctions range from written warnings and fines to more severe penalties such as business suspension, license revocation, and deregistration. These sanctions can be applied with or without prior warnings and may be imposed individually or in combination</w:t>
            </w:r>
            <w:r>
              <w:rPr>
                <w:color w:val="000000" w:themeColor="text1"/>
                <w:lang w:val="en-ID"/>
              </w:rPr>
              <w:t xml:space="preserve"> (Article 52)</w:t>
            </w:r>
            <w:r w:rsidRPr="0064023C">
              <w:rPr>
                <w:color w:val="000000" w:themeColor="text1"/>
                <w:lang w:val="en-ID"/>
              </w:rPr>
              <w:t>. Additionally, OJK may take other corrective measures and publicly announce the sanctions and actions taken to ensure transparency and accountability</w:t>
            </w:r>
            <w:r>
              <w:rPr>
                <w:color w:val="000000" w:themeColor="text1"/>
                <w:lang w:val="en-ID"/>
              </w:rPr>
              <w:t xml:space="preserve"> (Article 53)</w:t>
            </w:r>
            <w:r w:rsidRPr="0064023C">
              <w:rPr>
                <w:color w:val="000000" w:themeColor="text1"/>
                <w:lang w:val="en-ID"/>
              </w:rPr>
              <w:t>.</w:t>
            </w:r>
          </w:p>
          <w:p w14:paraId="2C2128DB" w14:textId="02607B1D" w:rsidR="0064023C" w:rsidRPr="0064023C" w:rsidRDefault="0064023C" w:rsidP="00093CA9">
            <w:pPr>
              <w:keepNext/>
              <w:rPr>
                <w:color w:val="000000" w:themeColor="text1"/>
                <w:lang w:val="en-ID"/>
              </w:rPr>
            </w:pPr>
            <w:r>
              <w:rPr>
                <w:color w:val="000000" w:themeColor="text1"/>
                <w:lang w:val="en-ID"/>
              </w:rPr>
              <w:t xml:space="preserve">In response to compliance, the OJK </w:t>
            </w:r>
            <w:r w:rsidRPr="0064023C">
              <w:rPr>
                <w:color w:val="000000" w:themeColor="text1"/>
              </w:rPr>
              <w:t xml:space="preserve">may </w:t>
            </w:r>
            <w:r>
              <w:rPr>
                <w:color w:val="000000" w:themeColor="text1"/>
              </w:rPr>
              <w:t xml:space="preserve">also </w:t>
            </w:r>
            <w:r w:rsidRPr="0064023C">
              <w:rPr>
                <w:color w:val="000000" w:themeColor="text1"/>
              </w:rPr>
              <w:t>provide incentives for Issuers and Issuers who issue sustainability-based debt Securities and/or Sukuk</w:t>
            </w:r>
            <w:r>
              <w:rPr>
                <w:color w:val="000000" w:themeColor="text1"/>
              </w:rPr>
              <w:t xml:space="preserve"> (Article 50).</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vAlign w:val="center"/>
          </w:tcPr>
          <w:p w14:paraId="2518BD70" w14:textId="77777777" w:rsidR="00524D54" w:rsidRPr="003577A4" w:rsidRDefault="00524D54" w:rsidP="00DD3144"/>
        </w:tc>
      </w:tr>
      <w:tr w:rsidR="00524D54" w:rsidRPr="003D48C1"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7FA944" w14:textId="77777777" w:rsidR="00B0479E" w:rsidRDefault="00B0479E" w:rsidP="00DD3144"/>
        </w:tc>
        <w:tc>
          <w:tcPr>
            <w:tcW w:w="1440" w:type="dxa"/>
            <w:vAlign w:val="center"/>
          </w:tcPr>
          <w:p w14:paraId="028D81AE" w14:textId="77777777" w:rsidR="00B0479E" w:rsidRDefault="00B0479E" w:rsidP="00DD3144"/>
        </w:tc>
        <w:tc>
          <w:tcPr>
            <w:tcW w:w="1890" w:type="dxa"/>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58FF7AF7" w14:textId="77777777" w:rsidR="00B0479E" w:rsidRDefault="00B0479E" w:rsidP="00DD3144"/>
        </w:tc>
        <w:tc>
          <w:tcPr>
            <w:tcW w:w="1440" w:type="dxa"/>
            <w:vAlign w:val="center"/>
          </w:tcPr>
          <w:p w14:paraId="5C1D356A" w14:textId="77777777" w:rsidR="00B0479E" w:rsidRDefault="00B0479E" w:rsidP="00DD3144"/>
        </w:tc>
        <w:tc>
          <w:tcPr>
            <w:tcW w:w="1890" w:type="dxa"/>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vAlign w:val="center"/>
          </w:tcPr>
          <w:p w14:paraId="42963139" w14:textId="77777777" w:rsidR="00B0479E" w:rsidRDefault="00B0479E" w:rsidP="00DD3144"/>
        </w:tc>
        <w:tc>
          <w:tcPr>
            <w:tcW w:w="1440" w:type="dxa"/>
            <w:vAlign w:val="center"/>
          </w:tcPr>
          <w:p w14:paraId="16EB1CB8" w14:textId="77777777" w:rsidR="00B0479E" w:rsidRDefault="00B0479E" w:rsidP="00DD3144"/>
        </w:tc>
        <w:tc>
          <w:tcPr>
            <w:tcW w:w="1890" w:type="dxa"/>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vAlign w:val="center"/>
          </w:tcPr>
          <w:p w14:paraId="2A2BA767" w14:textId="77777777" w:rsidR="00B0479E" w:rsidRDefault="00B0479E" w:rsidP="00DD3144"/>
        </w:tc>
        <w:tc>
          <w:tcPr>
            <w:tcW w:w="1440" w:type="dxa"/>
            <w:vAlign w:val="center"/>
          </w:tcPr>
          <w:p w14:paraId="67C1DCBA" w14:textId="77777777" w:rsidR="00B0479E" w:rsidRDefault="00B0479E" w:rsidP="00DD3144"/>
        </w:tc>
        <w:tc>
          <w:tcPr>
            <w:tcW w:w="1890" w:type="dxa"/>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400B08" w14:textId="77777777" w:rsidR="00B0479E" w:rsidRDefault="00B0479E" w:rsidP="00DD3144"/>
        </w:tc>
        <w:tc>
          <w:tcPr>
            <w:tcW w:w="1440" w:type="dxa"/>
            <w:vAlign w:val="center"/>
          </w:tcPr>
          <w:p w14:paraId="79F426CB" w14:textId="77777777" w:rsidR="00B0479E" w:rsidRDefault="00B0479E" w:rsidP="00DD3144"/>
        </w:tc>
        <w:tc>
          <w:tcPr>
            <w:tcW w:w="1890" w:type="dxa"/>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vAlign w:val="center"/>
          </w:tcPr>
          <w:p w14:paraId="04C97ADB" w14:textId="77777777" w:rsidR="00B0479E" w:rsidRDefault="00B0479E" w:rsidP="00DD3144"/>
        </w:tc>
        <w:tc>
          <w:tcPr>
            <w:tcW w:w="1440" w:type="dxa"/>
            <w:vAlign w:val="center"/>
          </w:tcPr>
          <w:p w14:paraId="407AD89C" w14:textId="77777777" w:rsidR="00B0479E" w:rsidRDefault="00B0479E" w:rsidP="00DD3144"/>
        </w:tc>
        <w:tc>
          <w:tcPr>
            <w:tcW w:w="1890" w:type="dxa"/>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vAlign w:val="center"/>
          </w:tcPr>
          <w:p w14:paraId="6D23C124" w14:textId="77777777" w:rsidR="00B0479E" w:rsidRDefault="00B0479E" w:rsidP="00DD3144"/>
        </w:tc>
        <w:tc>
          <w:tcPr>
            <w:tcW w:w="1440" w:type="dxa"/>
            <w:vAlign w:val="center"/>
          </w:tcPr>
          <w:p w14:paraId="0FB585A8" w14:textId="77777777" w:rsidR="00B0479E" w:rsidRDefault="00B0479E" w:rsidP="00DD3144"/>
        </w:tc>
        <w:tc>
          <w:tcPr>
            <w:tcW w:w="1890" w:type="dxa"/>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vAlign w:val="center"/>
          </w:tcPr>
          <w:p w14:paraId="788B865B" w14:textId="77777777" w:rsidR="00B0479E" w:rsidRDefault="00B0479E" w:rsidP="00DD3144"/>
        </w:tc>
        <w:tc>
          <w:tcPr>
            <w:tcW w:w="1440" w:type="dxa"/>
            <w:vAlign w:val="center"/>
          </w:tcPr>
          <w:p w14:paraId="1BAE4A5F" w14:textId="77777777" w:rsidR="00B0479E" w:rsidRDefault="00B0479E" w:rsidP="00DD3144"/>
        </w:tc>
        <w:tc>
          <w:tcPr>
            <w:tcW w:w="1890" w:type="dxa"/>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vAlign w:val="center"/>
          </w:tcPr>
          <w:p w14:paraId="6F55A6C2" w14:textId="77777777" w:rsidR="00B0479E" w:rsidRDefault="00B0479E" w:rsidP="00DD3144"/>
        </w:tc>
        <w:tc>
          <w:tcPr>
            <w:tcW w:w="1440" w:type="dxa"/>
            <w:vAlign w:val="center"/>
          </w:tcPr>
          <w:p w14:paraId="43EB5690" w14:textId="77777777" w:rsidR="00B0479E" w:rsidRDefault="00B0479E" w:rsidP="00DD3144"/>
        </w:tc>
        <w:tc>
          <w:tcPr>
            <w:tcW w:w="1890" w:type="dxa"/>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vAlign w:val="center"/>
          </w:tcPr>
          <w:p w14:paraId="0048B9DA" w14:textId="77777777" w:rsidR="00484663" w:rsidRDefault="00484663" w:rsidP="00DD3144"/>
        </w:tc>
        <w:tc>
          <w:tcPr>
            <w:tcW w:w="1440" w:type="dxa"/>
            <w:vAlign w:val="center"/>
          </w:tcPr>
          <w:p w14:paraId="010EA0B6" w14:textId="77777777" w:rsidR="00484663" w:rsidRDefault="00484663" w:rsidP="00DD3144"/>
        </w:tc>
        <w:tc>
          <w:tcPr>
            <w:tcW w:w="1890" w:type="dxa"/>
            <w:vAlign w:val="center"/>
          </w:tcPr>
          <w:p w14:paraId="046D9BE7" w14:textId="0965D499" w:rsidR="00484663" w:rsidRDefault="00484663" w:rsidP="00DD3144"/>
        </w:tc>
      </w:tr>
      <w:tr w:rsidR="00484663" w14:paraId="69D8FE15" w14:textId="77777777" w:rsidTr="00CC7CC0">
        <w:trPr>
          <w:trHeight w:val="224"/>
        </w:trPr>
        <w:tc>
          <w:tcPr>
            <w:tcW w:w="990" w:type="dxa"/>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vAlign w:val="center"/>
          </w:tcPr>
          <w:p w14:paraId="24B15D5C" w14:textId="77777777" w:rsidR="00484663" w:rsidRDefault="00484663" w:rsidP="00DD3144"/>
        </w:tc>
        <w:tc>
          <w:tcPr>
            <w:tcW w:w="1440" w:type="dxa"/>
            <w:vAlign w:val="center"/>
          </w:tcPr>
          <w:p w14:paraId="43575BB4" w14:textId="77777777" w:rsidR="00484663" w:rsidRDefault="00484663" w:rsidP="00DD3144"/>
        </w:tc>
        <w:tc>
          <w:tcPr>
            <w:tcW w:w="1890" w:type="dxa"/>
            <w:vAlign w:val="center"/>
          </w:tcPr>
          <w:p w14:paraId="0D936010" w14:textId="1837532B" w:rsidR="00484663" w:rsidRDefault="00484663" w:rsidP="00DD3144"/>
        </w:tc>
      </w:tr>
      <w:tr w:rsidR="00484663" w14:paraId="230C62FB" w14:textId="77777777" w:rsidTr="00CC7CC0">
        <w:trPr>
          <w:trHeight w:val="224"/>
        </w:trPr>
        <w:tc>
          <w:tcPr>
            <w:tcW w:w="990" w:type="dxa"/>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vAlign w:val="center"/>
          </w:tcPr>
          <w:p w14:paraId="5F9B0D59" w14:textId="77777777" w:rsidR="00484663" w:rsidRDefault="00484663" w:rsidP="00DD3144"/>
        </w:tc>
        <w:tc>
          <w:tcPr>
            <w:tcW w:w="1440" w:type="dxa"/>
            <w:vAlign w:val="center"/>
          </w:tcPr>
          <w:p w14:paraId="5A5C0BA3" w14:textId="77777777" w:rsidR="00484663" w:rsidRDefault="00484663" w:rsidP="00DD3144"/>
        </w:tc>
        <w:tc>
          <w:tcPr>
            <w:tcW w:w="1890" w:type="dxa"/>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699"/>
        <w:gridCol w:w="4088"/>
        <w:gridCol w:w="432"/>
        <w:gridCol w:w="1528"/>
        <w:gridCol w:w="1825"/>
        <w:gridCol w:w="1889"/>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DEB07E" w:rsidR="00C4670C" w:rsidRPr="00C37D48" w:rsidRDefault="006D7792" w:rsidP="00C37D48">
            <w:pPr>
              <w:rPr>
                <w:rFonts w:ascii="Calibri" w:hAnsi="Calibri" w:cs="Calibri"/>
              </w:rPr>
            </w:pPr>
            <w:r>
              <w:rPr>
                <w:rFonts w:ascii="Calibri" w:hAnsi="Calibri" w:cs="Calibri"/>
              </w:rPr>
              <w:t>X</w:t>
            </w: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0275BB4B" w:rsidR="00C4670C" w:rsidRPr="00C37D48" w:rsidRDefault="006D7792" w:rsidP="00C37D48">
            <w:pPr>
              <w:rPr>
                <w:rFonts w:ascii="Calibri" w:hAnsi="Calibri" w:cs="Calibri"/>
              </w:rPr>
            </w:pPr>
            <w:r>
              <w:rPr>
                <w:rFonts w:ascii="Calibri" w:hAnsi="Calibri" w:cs="Calibri"/>
              </w:rPr>
              <w:t xml:space="preserve">X </w:t>
            </w: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2B39F514" w:rsidR="00C4670C" w:rsidRPr="00C37D48" w:rsidRDefault="00FE0050" w:rsidP="00C37D48">
            <w:pPr>
              <w:rPr>
                <w:rFonts w:ascii="Calibri" w:hAnsi="Calibri" w:cs="Calibri"/>
              </w:rPr>
            </w:pPr>
            <w:r>
              <w:rPr>
                <w:rFonts w:ascii="Calibri" w:hAnsi="Calibri" w:cs="Calibri"/>
              </w:rPr>
              <w:t>X</w:t>
            </w: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99EDEE5" w:rsidR="00C4670C" w:rsidRPr="00C37D48" w:rsidRDefault="006D7792" w:rsidP="00C37D48">
            <w:pPr>
              <w:rPr>
                <w:rFonts w:ascii="Calibri" w:hAnsi="Calibri" w:cs="Calibri"/>
              </w:rPr>
            </w:pPr>
            <w:r>
              <w:rPr>
                <w:rFonts w:ascii="Calibri" w:hAnsi="Calibri" w:cs="Calibri"/>
              </w:rPr>
              <w:t>X</w:t>
            </w: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5ED9EF4D" w:rsidR="00C4670C" w:rsidRPr="00C37D48" w:rsidRDefault="006D7792" w:rsidP="00C37D48">
            <w:pPr>
              <w:rPr>
                <w:rFonts w:ascii="Calibri" w:hAnsi="Calibri" w:cs="Calibri"/>
              </w:rPr>
            </w:pPr>
            <w:r>
              <w:rPr>
                <w:rFonts w:ascii="Calibri" w:hAnsi="Calibri" w:cs="Calibri"/>
              </w:rPr>
              <w:t>X</w:t>
            </w: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69BE5455" w:rsidR="00C4670C" w:rsidRPr="00C37D48" w:rsidRDefault="006D7792" w:rsidP="00C37D48">
            <w:pPr>
              <w:rPr>
                <w:rFonts w:ascii="Calibri" w:hAnsi="Calibri" w:cs="Calibri"/>
              </w:rPr>
            </w:pPr>
            <w:r>
              <w:rPr>
                <w:rFonts w:ascii="Calibri" w:hAnsi="Calibri" w:cs="Calibri"/>
              </w:rPr>
              <w:t>X</w:t>
            </w: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45B62848" w:rsidR="00C4670C" w:rsidRPr="00C37D48" w:rsidRDefault="006D7792" w:rsidP="00C37D48">
            <w:pPr>
              <w:rPr>
                <w:rFonts w:ascii="Calibri" w:hAnsi="Calibri" w:cs="Calibri"/>
              </w:rPr>
            </w:pPr>
            <w:r>
              <w:rPr>
                <w:rFonts w:ascii="Calibri" w:hAnsi="Calibri" w:cs="Calibri"/>
              </w:rPr>
              <w:t>X</w:t>
            </w: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1B1F8250" w:rsidR="00C4670C" w:rsidRPr="00C37D48" w:rsidRDefault="00267CBD" w:rsidP="00C37D48">
            <w:pPr>
              <w:rPr>
                <w:rFonts w:ascii="Calibri" w:hAnsi="Calibri" w:cs="Calibri"/>
              </w:rPr>
            </w:pPr>
            <w:r>
              <w:rPr>
                <w:rFonts w:ascii="Calibri" w:hAnsi="Calibri" w:cs="Calibri"/>
              </w:rPr>
              <w:t>X</w:t>
            </w: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8341F1B" w:rsidR="00C4670C" w:rsidRPr="00C37D48" w:rsidRDefault="006D7792" w:rsidP="00C37D48">
            <w:pPr>
              <w:rPr>
                <w:rFonts w:ascii="Calibri" w:hAnsi="Calibri" w:cs="Calibri"/>
              </w:rPr>
            </w:pPr>
            <w:r>
              <w:rPr>
                <w:rFonts w:ascii="Calibri" w:hAnsi="Calibri" w:cs="Calibri"/>
              </w:rPr>
              <w:t>X</w:t>
            </w: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029A3D8F" w:rsidR="00C4670C" w:rsidRPr="00C37D48" w:rsidRDefault="006D7792" w:rsidP="00C37D48">
            <w:pPr>
              <w:rPr>
                <w:rFonts w:ascii="Calibri" w:hAnsi="Calibri" w:cs="Calibri"/>
              </w:rPr>
            </w:pPr>
            <w:r>
              <w:rPr>
                <w:rFonts w:ascii="Calibri" w:hAnsi="Calibri" w:cs="Calibri"/>
              </w:rPr>
              <w:t>X</w:t>
            </w: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238360B" w:rsidR="00C4670C" w:rsidRPr="00C37D48" w:rsidRDefault="006D7792" w:rsidP="00C37D48">
            <w:pPr>
              <w:rPr>
                <w:rFonts w:ascii="Calibri" w:hAnsi="Calibri" w:cs="Calibri"/>
              </w:rPr>
            </w:pPr>
            <w:r>
              <w:rPr>
                <w:rFonts w:ascii="Calibri" w:hAnsi="Calibri" w:cs="Calibri"/>
              </w:rPr>
              <w:t>X</w:t>
            </w: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17E2C72" w:rsidR="00C4670C" w:rsidRPr="00C37D48" w:rsidRDefault="006D7792" w:rsidP="00C37D48">
            <w:pPr>
              <w:rPr>
                <w:rFonts w:ascii="Calibri" w:hAnsi="Calibri" w:cs="Calibri"/>
              </w:rPr>
            </w:pPr>
            <w:r>
              <w:rPr>
                <w:rFonts w:ascii="Calibri" w:hAnsi="Calibri" w:cs="Calibri"/>
              </w:rPr>
              <w:t>X</w:t>
            </w: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2F13869A" w:rsidR="00C4670C" w:rsidRPr="00C37D48" w:rsidRDefault="00267CBD" w:rsidP="00C37D48">
            <w:pPr>
              <w:rPr>
                <w:rFonts w:ascii="Calibri" w:hAnsi="Calibri" w:cs="Calibri"/>
              </w:rPr>
            </w:pPr>
            <w:r>
              <w:rPr>
                <w:rFonts w:ascii="Calibri" w:hAnsi="Calibri" w:cs="Calibri"/>
              </w:rPr>
              <w:t>X</w:t>
            </w: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lastRenderedPageBreak/>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vAlign w:val="center"/>
          </w:tcPr>
          <w:p w14:paraId="28FA68F6" w14:textId="77BFB7BE" w:rsidR="004F276F" w:rsidRPr="00C37D48" w:rsidRDefault="00267CBD" w:rsidP="00267CBD">
            <w:pPr>
              <w:rPr>
                <w:rFonts w:ascii="Calibri" w:hAnsi="Calibri" w:cs="Calibri"/>
              </w:rPr>
            </w:pPr>
            <w:r>
              <w:rPr>
                <w:rFonts w:ascii="Calibri" w:hAnsi="Calibri" w:cs="Calibri"/>
              </w:rPr>
              <w:t>Issuers of Public Offering in general are targeted by this regulation. P</w:t>
            </w:r>
            <w:r w:rsidRPr="00267CBD">
              <w:rPr>
                <w:rFonts w:ascii="Calibri" w:hAnsi="Calibri" w:cs="Calibri"/>
              </w:rPr>
              <w:t xml:space="preserve">ublic Offering is a Securities offering activity conducted by issuers </w:t>
            </w:r>
            <w:proofErr w:type="gramStart"/>
            <w:r w:rsidRPr="00267CBD">
              <w:rPr>
                <w:rFonts w:ascii="Calibri" w:hAnsi="Calibri" w:cs="Calibri"/>
              </w:rPr>
              <w:t>in order to</w:t>
            </w:r>
            <w:proofErr w:type="gramEnd"/>
            <w:r w:rsidRPr="00267CBD">
              <w:rPr>
                <w:rFonts w:ascii="Calibri" w:hAnsi="Calibri" w:cs="Calibri"/>
              </w:rPr>
              <w:t xml:space="preserve"> sell Securities to the community based on the procedures set out in the Law on the development and strengthening of the</w:t>
            </w:r>
            <w:r>
              <w:rPr>
                <w:rFonts w:ascii="Calibri" w:hAnsi="Calibri" w:cs="Calibri"/>
              </w:rPr>
              <w:t xml:space="preserve"> </w:t>
            </w:r>
            <w:r w:rsidRPr="00267CBD">
              <w:rPr>
                <w:rFonts w:ascii="Calibri" w:hAnsi="Calibri" w:cs="Calibri"/>
              </w:rPr>
              <w:t>financial sector and its implementing regulations</w:t>
            </w:r>
            <w:r>
              <w:rPr>
                <w:rFonts w:ascii="Calibri" w:hAnsi="Calibri" w:cs="Calibri"/>
              </w:rPr>
              <w:t xml:space="preserve">. </w:t>
            </w: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48A6E613" w:rsidR="004F276F" w:rsidRPr="00C37D48" w:rsidRDefault="0054165B" w:rsidP="00C37D48">
            <w:pPr>
              <w:rPr>
                <w:rFonts w:ascii="Calibri" w:hAnsi="Calibri" w:cs="Calibri"/>
              </w:rPr>
            </w:pPr>
            <w:r>
              <w:rPr>
                <w:rFonts w:ascii="Calibri" w:hAnsi="Calibri" w:cs="Calibri"/>
              </w:rPr>
              <w:t>X</w:t>
            </w: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45D53DE5" w:rsidR="004F276F" w:rsidRPr="00C37D48" w:rsidRDefault="0054165B" w:rsidP="00C37D48">
            <w:pPr>
              <w:rPr>
                <w:rFonts w:ascii="Calibri" w:hAnsi="Calibri" w:cs="Calibri"/>
              </w:rPr>
            </w:pPr>
            <w:r>
              <w:rPr>
                <w:rFonts w:ascii="Calibri" w:hAnsi="Calibri" w:cs="Calibri"/>
              </w:rPr>
              <w:t>X</w:t>
            </w: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20B44F9D" w:rsidR="004F276F" w:rsidRPr="00C37D48" w:rsidRDefault="0054165B" w:rsidP="00C37D48">
            <w:pPr>
              <w:rPr>
                <w:rFonts w:ascii="Calibri" w:hAnsi="Calibri" w:cs="Calibri"/>
              </w:rPr>
            </w:pPr>
            <w:r>
              <w:rPr>
                <w:rFonts w:ascii="Calibri" w:hAnsi="Calibri" w:cs="Calibri"/>
              </w:rPr>
              <w:t>X</w:t>
            </w: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405EF035" w:rsidR="004F276F" w:rsidRPr="00C37D48" w:rsidRDefault="0054165B" w:rsidP="00C37D48">
            <w:pPr>
              <w:rPr>
                <w:rFonts w:ascii="Calibri" w:hAnsi="Calibri" w:cs="Calibri"/>
              </w:rPr>
            </w:pPr>
            <w:r>
              <w:rPr>
                <w:rFonts w:ascii="Calibri" w:hAnsi="Calibri" w:cs="Calibri"/>
              </w:rPr>
              <w:t>X</w:t>
            </w: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1532079C" w:rsidR="004F276F" w:rsidRPr="00C37D48" w:rsidRDefault="0054165B" w:rsidP="00C37D48">
            <w:pPr>
              <w:rPr>
                <w:rFonts w:ascii="Calibri" w:hAnsi="Calibri" w:cs="Calibri"/>
              </w:rPr>
            </w:pPr>
            <w:r>
              <w:rPr>
                <w:rFonts w:ascii="Calibri" w:hAnsi="Calibri" w:cs="Calibri"/>
              </w:rPr>
              <w:t>X</w:t>
            </w: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vAlign w:val="center"/>
          </w:tcPr>
          <w:p w14:paraId="74174B7C" w14:textId="0744AA5E"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107C0A47" w:rsidR="004F276F" w:rsidRPr="00C37D48" w:rsidRDefault="006D7792" w:rsidP="00C37D48">
            <w:pPr>
              <w:rPr>
                <w:rFonts w:ascii="Calibri" w:hAnsi="Calibri" w:cs="Calibri"/>
              </w:rPr>
            </w:pPr>
            <w:r>
              <w:rPr>
                <w:rFonts w:ascii="Calibri" w:hAnsi="Calibri" w:cs="Calibri"/>
              </w:rPr>
              <w:t>X</w:t>
            </w: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01A2F8D3" w:rsidR="004F276F" w:rsidRPr="00C37D48" w:rsidRDefault="006D7792" w:rsidP="00C37D48">
            <w:pPr>
              <w:rPr>
                <w:rFonts w:ascii="Calibri" w:hAnsi="Calibri" w:cs="Calibri"/>
              </w:rPr>
            </w:pPr>
            <w:r>
              <w:rPr>
                <w:rFonts w:ascii="Calibri" w:hAnsi="Calibri" w:cs="Calibri"/>
              </w:rPr>
              <w:t>X</w:t>
            </w: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64305E83" w:rsidR="004F276F" w:rsidRPr="00C37D48" w:rsidRDefault="006D7792" w:rsidP="00C37D48">
            <w:pPr>
              <w:rPr>
                <w:rFonts w:ascii="Calibri" w:hAnsi="Calibri" w:cs="Calibri"/>
              </w:rPr>
            </w:pPr>
            <w:r>
              <w:rPr>
                <w:rFonts w:ascii="Calibri" w:hAnsi="Calibri" w:cs="Calibri"/>
              </w:rPr>
              <w:t>X</w:t>
            </w: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2EA6B9B5" w:rsidR="004F276F" w:rsidRPr="00C37D48" w:rsidRDefault="006D7792" w:rsidP="00C37D48">
            <w:pPr>
              <w:rPr>
                <w:rFonts w:ascii="Calibri" w:hAnsi="Calibri" w:cs="Calibri"/>
              </w:rPr>
            </w:pPr>
            <w:r>
              <w:rPr>
                <w:rFonts w:ascii="Calibri" w:hAnsi="Calibri" w:cs="Calibri"/>
              </w:rPr>
              <w:t>X</w:t>
            </w: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4D2F2C32" w:rsidR="004F276F" w:rsidRPr="00C37D48" w:rsidRDefault="006D7792" w:rsidP="00C37D48">
            <w:pPr>
              <w:rPr>
                <w:rFonts w:ascii="Calibri" w:hAnsi="Calibri" w:cs="Calibri"/>
              </w:rPr>
            </w:pPr>
            <w:r>
              <w:rPr>
                <w:rFonts w:ascii="Calibri" w:hAnsi="Calibri" w:cs="Calibri"/>
              </w:rPr>
              <w:t>X</w:t>
            </w: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25BF5308" w:rsidR="004F276F" w:rsidRPr="00C37D48" w:rsidRDefault="006D7792" w:rsidP="00C37D48">
            <w:pPr>
              <w:rPr>
                <w:rFonts w:ascii="Calibri" w:hAnsi="Calibri" w:cs="Calibri"/>
              </w:rPr>
            </w:pPr>
            <w:r>
              <w:rPr>
                <w:rFonts w:ascii="Calibri" w:hAnsi="Calibri" w:cs="Calibri"/>
              </w:rPr>
              <w:t>X</w:t>
            </w: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37E11DB8" w:rsidR="004F276F" w:rsidRPr="00C37D48" w:rsidRDefault="006D7792" w:rsidP="00C37D48">
            <w:pPr>
              <w:rPr>
                <w:rFonts w:ascii="Calibri" w:hAnsi="Calibri" w:cs="Calibri"/>
              </w:rPr>
            </w:pPr>
            <w:r>
              <w:rPr>
                <w:rFonts w:ascii="Calibri" w:hAnsi="Calibri" w:cs="Calibri"/>
              </w:rPr>
              <w:t>X</w:t>
            </w: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523DDE14" w:rsidR="004F276F" w:rsidRPr="00C37D48" w:rsidRDefault="006D7792" w:rsidP="00C37D48">
            <w:pPr>
              <w:rPr>
                <w:rFonts w:ascii="Calibri" w:hAnsi="Calibri" w:cs="Calibri"/>
              </w:rPr>
            </w:pPr>
            <w:r>
              <w:rPr>
                <w:rFonts w:ascii="Calibri" w:hAnsi="Calibri" w:cs="Calibri"/>
              </w:rPr>
              <w:t>X</w:t>
            </w: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2A7D94FC" w:rsidR="004F276F" w:rsidRPr="00C37D48" w:rsidRDefault="006D7792" w:rsidP="00C37D48">
            <w:pPr>
              <w:rPr>
                <w:rFonts w:ascii="Calibri" w:hAnsi="Calibri" w:cs="Calibri"/>
              </w:rPr>
            </w:pPr>
            <w:r>
              <w:rPr>
                <w:rFonts w:ascii="Calibri" w:hAnsi="Calibri" w:cs="Calibri"/>
              </w:rPr>
              <w:t>X</w:t>
            </w: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2EC95AB8" w:rsidR="004F276F" w:rsidRPr="00C37D48" w:rsidRDefault="006D7792" w:rsidP="00C37D48">
            <w:pPr>
              <w:rPr>
                <w:rFonts w:ascii="Calibri" w:hAnsi="Calibri" w:cs="Calibri"/>
              </w:rPr>
            </w:pPr>
            <w:r>
              <w:rPr>
                <w:rFonts w:ascii="Calibri" w:hAnsi="Calibri" w:cs="Calibri"/>
              </w:rPr>
              <w:t>X</w:t>
            </w: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2CA5A0AF" w:rsidR="004F276F" w:rsidRPr="00C37D48" w:rsidRDefault="00C530D6" w:rsidP="00C37D48">
            <w:pPr>
              <w:rPr>
                <w:rFonts w:ascii="Calibri" w:hAnsi="Calibri" w:cs="Calibri"/>
              </w:rPr>
            </w:pPr>
            <w:r>
              <w:rPr>
                <w:rFonts w:ascii="Calibri" w:hAnsi="Calibri" w:cs="Calibri"/>
              </w:rPr>
              <w:t>X</w:t>
            </w: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DAA1025" w:rsidR="004F276F" w:rsidRPr="00C37D48" w:rsidRDefault="006D7792" w:rsidP="00C37D48">
            <w:pPr>
              <w:rPr>
                <w:rFonts w:ascii="Calibri" w:hAnsi="Calibri" w:cs="Calibri"/>
              </w:rPr>
            </w:pPr>
            <w:r>
              <w:rPr>
                <w:rFonts w:ascii="Calibri" w:hAnsi="Calibri" w:cs="Calibri"/>
              </w:rPr>
              <w:t>X</w:t>
            </w: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003A4A57" w:rsidR="004F276F" w:rsidRPr="00C37D48" w:rsidRDefault="006D7792" w:rsidP="00C37D48">
            <w:pPr>
              <w:rPr>
                <w:rFonts w:ascii="Calibri" w:hAnsi="Calibri" w:cs="Calibri"/>
              </w:rPr>
            </w:pPr>
            <w:r>
              <w:rPr>
                <w:rFonts w:ascii="Calibri" w:hAnsi="Calibri" w:cs="Calibri"/>
              </w:rPr>
              <w:t>X</w:t>
            </w: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5742987D" w:rsidR="004F276F" w:rsidRPr="00C37D48" w:rsidRDefault="006D7792" w:rsidP="00C37D48">
            <w:pPr>
              <w:rPr>
                <w:rFonts w:ascii="Calibri" w:hAnsi="Calibri" w:cs="Calibri"/>
              </w:rPr>
            </w:pPr>
            <w:r>
              <w:rPr>
                <w:rFonts w:ascii="Calibri" w:hAnsi="Calibri" w:cs="Calibri"/>
              </w:rPr>
              <w:t>X</w:t>
            </w: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30E0C5AF" w:rsidR="004F276F" w:rsidRPr="00C37D48" w:rsidRDefault="006D7792" w:rsidP="00C37D48">
            <w:pPr>
              <w:rPr>
                <w:rFonts w:ascii="Calibri" w:hAnsi="Calibri" w:cs="Calibri"/>
              </w:rPr>
            </w:pPr>
            <w:r>
              <w:rPr>
                <w:rFonts w:ascii="Calibri" w:hAnsi="Calibri" w:cs="Calibri"/>
              </w:rPr>
              <w:t>X</w:t>
            </w: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3A0C9D5F" w:rsidR="004F276F" w:rsidRPr="00C37D48" w:rsidRDefault="006D7792" w:rsidP="00C37D48">
            <w:pPr>
              <w:rPr>
                <w:rFonts w:ascii="Calibri" w:hAnsi="Calibri" w:cs="Calibri"/>
              </w:rPr>
            </w:pPr>
            <w:r>
              <w:rPr>
                <w:rFonts w:ascii="Calibri" w:hAnsi="Calibri" w:cs="Calibri"/>
              </w:rPr>
              <w:t>X</w:t>
            </w: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10FE1457" w:rsidR="004F276F" w:rsidRPr="00C37D48" w:rsidRDefault="006D7792" w:rsidP="00C37D48">
            <w:pPr>
              <w:rPr>
                <w:rFonts w:ascii="Calibri" w:hAnsi="Calibri" w:cs="Calibri"/>
              </w:rPr>
            </w:pPr>
            <w:r>
              <w:rPr>
                <w:rFonts w:ascii="Calibri" w:hAnsi="Calibri" w:cs="Calibri"/>
              </w:rPr>
              <w:t>X</w:t>
            </w: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E5F0460" w:rsidR="004F276F" w:rsidRPr="00C37D48" w:rsidRDefault="006D7792" w:rsidP="00C37D48">
            <w:pPr>
              <w:rPr>
                <w:rFonts w:ascii="Calibri" w:hAnsi="Calibri" w:cs="Calibri"/>
              </w:rPr>
            </w:pPr>
            <w:r>
              <w:rPr>
                <w:rFonts w:ascii="Calibri" w:hAnsi="Calibri" w:cs="Calibri"/>
              </w:rPr>
              <w:t>X</w:t>
            </w: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1E37CE9D" w:rsidR="004F276F" w:rsidRPr="00C37D48" w:rsidRDefault="006D7792" w:rsidP="00C37D48">
            <w:pPr>
              <w:rPr>
                <w:rFonts w:ascii="Calibri" w:hAnsi="Calibri" w:cs="Calibri"/>
              </w:rPr>
            </w:pPr>
            <w:r>
              <w:rPr>
                <w:rFonts w:ascii="Calibri" w:hAnsi="Calibri" w:cs="Calibri"/>
              </w:rPr>
              <w:t>X</w:t>
            </w: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w:t>
            </w:r>
            <w:r w:rsidRPr="00C37D48">
              <w:rPr>
                <w:rFonts w:ascii="Calibri" w:hAnsi="Calibri" w:cs="Calibri"/>
              </w:rPr>
              <w:lastRenderedPageBreak/>
              <w:t>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5DFE1AB3" w:rsidR="004F276F" w:rsidRPr="00C37D48" w:rsidRDefault="006D7792" w:rsidP="00C37D48">
            <w:pPr>
              <w:rPr>
                <w:rFonts w:ascii="Calibri" w:hAnsi="Calibri" w:cs="Calibri"/>
              </w:rPr>
            </w:pPr>
            <w:r>
              <w:rPr>
                <w:rFonts w:ascii="Calibri" w:hAnsi="Calibri" w:cs="Calibri"/>
              </w:rPr>
              <w:t>X</w:t>
            </w: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37B48D74" w:rsidR="004F276F" w:rsidRPr="00C37D48" w:rsidRDefault="006D7792" w:rsidP="00C37D48">
            <w:pPr>
              <w:rPr>
                <w:rFonts w:ascii="Calibri" w:hAnsi="Calibri" w:cs="Calibri"/>
              </w:rPr>
            </w:pPr>
            <w:r>
              <w:rPr>
                <w:rFonts w:ascii="Calibri" w:hAnsi="Calibri" w:cs="Calibri"/>
              </w:rPr>
              <w:t>X</w:t>
            </w: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24A35F54" w:rsidR="004F276F" w:rsidRPr="00C37D48" w:rsidRDefault="006D7792" w:rsidP="00C37D48">
            <w:pPr>
              <w:rPr>
                <w:rFonts w:ascii="Calibri" w:hAnsi="Calibri" w:cs="Calibri"/>
              </w:rPr>
            </w:pPr>
            <w:r>
              <w:rPr>
                <w:rFonts w:ascii="Calibri" w:hAnsi="Calibri" w:cs="Calibri"/>
              </w:rPr>
              <w:t>X</w:t>
            </w: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vAlign w:val="center"/>
          </w:tcPr>
          <w:p w14:paraId="6AB8498E" w14:textId="367D11E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vAlign w:val="center"/>
          </w:tcPr>
          <w:p w14:paraId="41EA3B18" w14:textId="74C5D9C9" w:rsidR="004F276F" w:rsidRPr="00C37D48" w:rsidRDefault="00FE5D08" w:rsidP="00C37D48">
            <w:pPr>
              <w:rPr>
                <w:rFonts w:ascii="Calibri" w:hAnsi="Calibri" w:cs="Calibri"/>
              </w:rPr>
            </w:pPr>
            <w:r>
              <w:rPr>
                <w:rFonts w:ascii="Calibri" w:hAnsi="Calibri" w:cs="Calibri"/>
              </w:rPr>
              <w:t xml:space="preserve">This policy tool only applies to entities that issues sustainability-based debt securities and/or sukuk. Rules revolve around what kind of sustainability-based debt securities that may be issued and for what type of projects may be financed. </w:t>
            </w: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vAlign w:val="center"/>
          </w:tcPr>
          <w:p w14:paraId="56F3CD74" w14:textId="23543763"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vAlign w:val="center"/>
          </w:tcPr>
          <w:p w14:paraId="6AD40C56" w14:textId="46210B49" w:rsidR="004F276F" w:rsidRPr="00C37D48" w:rsidRDefault="004F276F" w:rsidP="00C37D48">
            <w:pPr>
              <w:rPr>
                <w:rFonts w:ascii="Calibri" w:hAnsi="Calibri" w:cs="Calibri"/>
              </w:rPr>
            </w:pPr>
          </w:p>
        </w:tc>
      </w:tr>
      <w:tr w:rsidR="004F276F" w:rsidRPr="003D48C1"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vAlign w:val="center"/>
          </w:tcPr>
          <w:p w14:paraId="4A5687EC" w14:textId="592D9E5C"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vAlign w:val="center"/>
          </w:tcPr>
          <w:p w14:paraId="534FEB4F" w14:textId="452FE33E"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vAlign w:val="center"/>
          </w:tcPr>
          <w:p w14:paraId="43691A25" w14:textId="6C4243CC"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6E77746" w14:textId="2BFA3DF0"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lastRenderedPageBreak/>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vAlign w:val="center"/>
          </w:tcPr>
          <w:p w14:paraId="5D4204ED" w14:textId="4B41FF30"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66E403A3" w14:textId="3DE7B1E0" w:rsidR="004F276F" w:rsidRPr="00C37D48" w:rsidRDefault="00FE5D08" w:rsidP="00C37D48">
            <w:pPr>
              <w:rPr>
                <w:rFonts w:ascii="Calibri" w:hAnsi="Calibri" w:cs="Calibri"/>
              </w:rPr>
            </w:pPr>
            <w:r>
              <w:rPr>
                <w:rFonts w:ascii="Calibri" w:hAnsi="Calibri" w:cs="Calibri"/>
              </w:rPr>
              <w:t>X</w:t>
            </w: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vAlign w:val="center"/>
          </w:tcPr>
          <w:p w14:paraId="2BD1E12C" w14:textId="10872745"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1393A860" w:rsidR="004F276F" w:rsidRPr="00C37D48" w:rsidRDefault="00FE5D08" w:rsidP="00C37D48">
            <w:pPr>
              <w:rPr>
                <w:rFonts w:ascii="Calibri" w:hAnsi="Calibri" w:cs="Calibri"/>
              </w:rPr>
            </w:pPr>
            <w:r>
              <w:rPr>
                <w:rFonts w:ascii="Calibri" w:hAnsi="Calibri" w:cs="Calibri"/>
              </w:rPr>
              <w:t>X</w:t>
            </w: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22AF24CC" w:rsidR="004F276F" w:rsidRPr="00C37D48" w:rsidRDefault="00FE5D08" w:rsidP="00C37D48">
            <w:pPr>
              <w:rPr>
                <w:rFonts w:ascii="Calibri" w:hAnsi="Calibri" w:cs="Calibri"/>
              </w:rPr>
            </w:pPr>
            <w:r>
              <w:rPr>
                <w:rFonts w:ascii="Calibri" w:hAnsi="Calibri" w:cs="Calibri"/>
              </w:rPr>
              <w:t>X</w:t>
            </w: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3423693F" w:rsidR="004F276F" w:rsidRPr="00C37D48" w:rsidRDefault="00FE5D08" w:rsidP="00C37D48">
            <w:pPr>
              <w:rPr>
                <w:rFonts w:ascii="Calibri" w:hAnsi="Calibri" w:cs="Calibri"/>
              </w:rPr>
            </w:pPr>
            <w:r>
              <w:rPr>
                <w:rFonts w:ascii="Calibri" w:hAnsi="Calibri" w:cs="Calibri"/>
              </w:rPr>
              <w:t>X</w:t>
            </w: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vAlign w:val="center"/>
          </w:tcPr>
          <w:p w14:paraId="643668F7" w14:textId="28F272DB" w:rsidR="00711F61" w:rsidRPr="00C37D48" w:rsidRDefault="00FE5D08" w:rsidP="00C37D48">
            <w:pPr>
              <w:rPr>
                <w:rFonts w:ascii="Calibri" w:hAnsi="Calibri" w:cs="Calibri"/>
              </w:rPr>
            </w:pPr>
            <w:r>
              <w:rPr>
                <w:rFonts w:ascii="Calibri" w:hAnsi="Calibri" w:cs="Calibri"/>
              </w:rPr>
              <w:t xml:space="preserve">The sanctions allowed are </w:t>
            </w:r>
            <w:r w:rsidRPr="00FE5D08">
              <w:rPr>
                <w:rFonts w:ascii="Calibri" w:hAnsi="Calibri" w:cs="Calibri"/>
              </w:rPr>
              <w:t>written warning</w:t>
            </w:r>
            <w:r>
              <w:rPr>
                <w:rFonts w:ascii="Calibri" w:hAnsi="Calibri" w:cs="Calibri"/>
              </w:rPr>
              <w:t>;</w:t>
            </w:r>
            <w:r w:rsidRPr="00FE5D08">
              <w:rPr>
                <w:rFonts w:ascii="Calibri" w:hAnsi="Calibri" w:cs="Calibri"/>
              </w:rPr>
              <w:t xml:space="preserve"> fines, namely the obligation to pay a certain amount of money; limitation of business activities; suspension of business activities; revocation of business license; cancellation of approval;</w:t>
            </w:r>
            <w:r>
              <w:rPr>
                <w:rFonts w:ascii="Calibri" w:hAnsi="Calibri" w:cs="Calibri"/>
              </w:rPr>
              <w:t xml:space="preserve"> </w:t>
            </w:r>
            <w:r w:rsidRPr="00FE5D08">
              <w:rPr>
                <w:rFonts w:ascii="Calibri" w:hAnsi="Calibri" w:cs="Calibri"/>
              </w:rPr>
              <w:t>cancellation of registration;</w:t>
            </w:r>
            <w:r>
              <w:rPr>
                <w:rFonts w:ascii="Calibri" w:hAnsi="Calibri" w:cs="Calibri"/>
              </w:rPr>
              <w:t xml:space="preserve"> </w:t>
            </w:r>
            <w:r w:rsidRPr="00FE5D08">
              <w:rPr>
                <w:rFonts w:ascii="Calibri" w:hAnsi="Calibri" w:cs="Calibri"/>
              </w:rPr>
              <w:t>revocation of the effectiveness of the Registration Statement; and/or revocation of individual licenses</w:t>
            </w: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581F87E5" w14:textId="47122B00" w:rsidR="001F30DE" w:rsidRPr="00C37D48" w:rsidRDefault="005F3F04" w:rsidP="00C37D48">
            <w:pPr>
              <w:rPr>
                <w:rFonts w:ascii="Calibri" w:hAnsi="Calibri" w:cs="Calibri"/>
              </w:rPr>
            </w:pPr>
            <w:r>
              <w:rPr>
                <w:rFonts w:ascii="Calibri" w:hAnsi="Calibri" w:cs="Calibri"/>
              </w:rPr>
              <w:t>X</w:t>
            </w: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vAlign w:val="center"/>
          </w:tcPr>
          <w:p w14:paraId="487EA17A" w14:textId="136C3E98" w:rsidR="005F3F04" w:rsidRPr="005F3F04" w:rsidRDefault="005F3F04" w:rsidP="005F3F04">
            <w:pPr>
              <w:rPr>
                <w:rFonts w:ascii="Calibri" w:hAnsi="Calibri" w:cs="Calibri"/>
                <w:lang w:val="en-ID"/>
              </w:rPr>
            </w:pPr>
            <w:r w:rsidRPr="005F3F04">
              <w:rPr>
                <w:rFonts w:ascii="Calibri" w:hAnsi="Calibri" w:cs="Calibri"/>
                <w:lang w:val="en-ID"/>
              </w:rPr>
              <w:t>There have been many instances of implementation. In 2018 and 2020, the value of green bonds and green sukuk issued in Indonesia reached IDR 40.8 trillion and</w:t>
            </w:r>
            <w:r w:rsidR="00B86BFC" w:rsidRPr="005F3F04">
              <w:rPr>
                <w:rFonts w:ascii="Calibri" w:hAnsi="Calibri" w:cs="Calibri"/>
                <w:lang w:val="en-ID"/>
              </w:rPr>
              <w:t xml:space="preserve"> </w:t>
            </w:r>
            <w:r w:rsidRPr="005F3F04">
              <w:rPr>
                <w:rFonts w:ascii="Calibri" w:hAnsi="Calibri" w:cs="Calibri"/>
                <w:lang w:val="en-ID"/>
              </w:rPr>
              <w:t xml:space="preserve">IDR 33.6 trillion, respectively. </w:t>
            </w:r>
          </w:p>
          <w:p w14:paraId="6C926008" w14:textId="4569FF08" w:rsidR="00B86BFC" w:rsidRDefault="00B86BFC" w:rsidP="005F3F04">
            <w:pPr>
              <w:rPr>
                <w:rFonts w:ascii="Calibri" w:hAnsi="Calibri" w:cs="Calibri"/>
                <w:lang w:val="en-ID"/>
              </w:rPr>
            </w:pPr>
            <w:r w:rsidRPr="00B86BFC">
              <w:rPr>
                <w:rFonts w:ascii="Calibri" w:hAnsi="Calibri" w:cs="Calibri"/>
                <w:lang w:val="en-ID"/>
              </w:rPr>
              <w:t xml:space="preserve">In 2023, several issuers offered green bonds, including PT Bank </w:t>
            </w:r>
            <w:proofErr w:type="spellStart"/>
            <w:r w:rsidRPr="00B86BFC">
              <w:rPr>
                <w:rFonts w:ascii="Calibri" w:hAnsi="Calibri" w:cs="Calibri"/>
                <w:lang w:val="en-ID"/>
              </w:rPr>
              <w:t>Mandiri</w:t>
            </w:r>
            <w:proofErr w:type="spellEnd"/>
            <w:r w:rsidRPr="00B86BFC">
              <w:rPr>
                <w:rFonts w:ascii="Calibri" w:hAnsi="Calibri" w:cs="Calibri"/>
                <w:lang w:val="en-ID"/>
              </w:rPr>
              <w:t xml:space="preserve"> (Persero) </w:t>
            </w:r>
            <w:proofErr w:type="spellStart"/>
            <w:r w:rsidRPr="00B86BFC">
              <w:rPr>
                <w:rFonts w:ascii="Calibri" w:hAnsi="Calibri" w:cs="Calibri"/>
                <w:lang w:val="en-ID"/>
              </w:rPr>
              <w:t>Tbk</w:t>
            </w:r>
            <w:proofErr w:type="spellEnd"/>
            <w:r w:rsidRPr="00B86BFC">
              <w:rPr>
                <w:rFonts w:ascii="Calibri" w:hAnsi="Calibri" w:cs="Calibri"/>
                <w:lang w:val="en-ID"/>
              </w:rPr>
              <w:t xml:space="preserve"> (BMRI) amounting to IDR 5 trillion in June, PT </w:t>
            </w:r>
            <w:proofErr w:type="spellStart"/>
            <w:r w:rsidRPr="00B86BFC">
              <w:rPr>
                <w:rFonts w:ascii="Calibri" w:hAnsi="Calibri" w:cs="Calibri"/>
                <w:lang w:val="en-ID"/>
              </w:rPr>
              <w:t>Arkora</w:t>
            </w:r>
            <w:proofErr w:type="spellEnd"/>
            <w:r w:rsidRPr="00B86BFC">
              <w:rPr>
                <w:rFonts w:ascii="Calibri" w:hAnsi="Calibri" w:cs="Calibri"/>
                <w:lang w:val="en-ID"/>
              </w:rPr>
              <w:t xml:space="preserve"> Hydro </w:t>
            </w:r>
            <w:proofErr w:type="spellStart"/>
            <w:r w:rsidRPr="00B86BFC">
              <w:rPr>
                <w:rFonts w:ascii="Calibri" w:hAnsi="Calibri" w:cs="Calibri"/>
                <w:lang w:val="en-ID"/>
              </w:rPr>
              <w:t>Tbk</w:t>
            </w:r>
            <w:proofErr w:type="spellEnd"/>
            <w:r w:rsidRPr="00B86BFC">
              <w:rPr>
                <w:rFonts w:ascii="Calibri" w:hAnsi="Calibri" w:cs="Calibri"/>
                <w:lang w:val="en-ID"/>
              </w:rPr>
              <w:t xml:space="preserve"> (ARKO) worth IDR 339.89 billion in August, and PT Bank Rakyat Indonesia (Persero) </w:t>
            </w:r>
            <w:proofErr w:type="spellStart"/>
            <w:r w:rsidRPr="00B86BFC">
              <w:rPr>
                <w:rFonts w:ascii="Calibri" w:hAnsi="Calibri" w:cs="Calibri"/>
                <w:lang w:val="en-ID"/>
              </w:rPr>
              <w:t>Tbk</w:t>
            </w:r>
            <w:proofErr w:type="spellEnd"/>
            <w:r w:rsidRPr="00B86BFC">
              <w:rPr>
                <w:rFonts w:ascii="Calibri" w:hAnsi="Calibri" w:cs="Calibri"/>
                <w:lang w:val="en-ID"/>
              </w:rPr>
              <w:t xml:space="preserve"> (BBRI) amounting to IDR 6 trillion in October 2023.</w:t>
            </w:r>
          </w:p>
          <w:p w14:paraId="04F05B88" w14:textId="668DE4E0" w:rsidR="005F3F04" w:rsidRPr="005F3F04" w:rsidRDefault="005F3F04" w:rsidP="005F3F04">
            <w:pPr>
              <w:rPr>
                <w:rFonts w:ascii="Calibri" w:hAnsi="Calibri" w:cs="Calibri"/>
                <w:lang w:val="en-ID"/>
              </w:rPr>
            </w:pPr>
            <w:r w:rsidRPr="005F3F04">
              <w:rPr>
                <w:rFonts w:ascii="Calibri" w:hAnsi="Calibri" w:cs="Calibri"/>
                <w:lang w:val="en-ID"/>
              </w:rPr>
              <w:t>However, the overall implementation is still not as widespread as the Financial Services Authority (OJK) had hoped, as many investors are reluctant to invest in such projects due to low returns, high costs, and limited awareness.</w:t>
            </w:r>
          </w:p>
          <w:p w14:paraId="0BFDBEDD" w14:textId="007898DC" w:rsidR="00926BF1" w:rsidRDefault="00926BF1" w:rsidP="005F3F04">
            <w:pPr>
              <w:rPr>
                <w:rFonts w:ascii="Calibri" w:hAnsi="Calibri" w:cs="Calibri"/>
              </w:rPr>
            </w:pPr>
            <w:hyperlink r:id="rId18" w:history="1">
              <w:r w:rsidRPr="0019546C">
                <w:rPr>
                  <w:rStyle w:val="Hyperlink"/>
                  <w:rFonts w:ascii="Calibri" w:hAnsi="Calibri" w:cs="Calibri"/>
                </w:rPr>
                <w:t>https://web.archive.org/web/20250730024015/https://market.bisnis.com/read/20250425/92/1872149/penerbitan-green-bond-ri-masih-minim-ojk-beberkan-masalahnya</w:t>
              </w:r>
            </w:hyperlink>
            <w:r>
              <w:rPr>
                <w:rFonts w:ascii="Calibri" w:hAnsi="Calibri" w:cs="Calibri"/>
              </w:rPr>
              <w:t xml:space="preserve"> </w:t>
            </w:r>
            <w:r w:rsidRPr="00926BF1">
              <w:rPr>
                <w:rFonts w:ascii="Calibri" w:hAnsi="Calibri" w:cs="Calibri"/>
              </w:rPr>
              <w:t xml:space="preserve"> </w:t>
            </w:r>
            <w:r>
              <w:rPr>
                <w:rFonts w:ascii="Calibri" w:hAnsi="Calibri" w:cs="Calibri"/>
              </w:rPr>
              <w:t xml:space="preserve"> </w:t>
            </w:r>
          </w:p>
          <w:p w14:paraId="2C94A033" w14:textId="77777777" w:rsidR="00926BF1" w:rsidRDefault="00926BF1" w:rsidP="005F3F04">
            <w:pPr>
              <w:rPr>
                <w:rFonts w:ascii="Calibri" w:hAnsi="Calibri" w:cs="Calibri"/>
                <w:lang w:val="en-ID"/>
              </w:rPr>
            </w:pPr>
            <w:hyperlink r:id="rId19" w:anchor="google_vignettehttps://market.bisnis.com/read/20250425/92/1872149/penerbitan-green-bond-ri-masih-minim-ojk-beberkan-masalahnya" w:history="1">
              <w:r w:rsidRPr="0019546C">
                <w:rPr>
                  <w:rStyle w:val="Hyperlink"/>
                  <w:rFonts w:ascii="Calibri" w:hAnsi="Calibri" w:cs="Calibri"/>
                  <w:lang w:val="en-ID"/>
                </w:rPr>
                <w:t>https://web.archive.org/web/20250730024412/https://investasi.kontan.co.id/news/penerbitan-green-bond-di-indonesia-diprediksi-semakin-semarak#google_vignettehttps://market.bisnis.com/read/20250425/92/1872149/penerbitan-green-bond-ri-masih-minim-ojk-beberkan-masalahnya</w:t>
              </w:r>
            </w:hyperlink>
            <w:r>
              <w:rPr>
                <w:rFonts w:ascii="Calibri" w:hAnsi="Calibri" w:cs="Calibri"/>
                <w:lang w:val="en-ID"/>
              </w:rPr>
              <w:t xml:space="preserve"> </w:t>
            </w:r>
          </w:p>
          <w:p w14:paraId="3BA84EFA" w14:textId="3F414662" w:rsidR="005F3F04" w:rsidRPr="005F3F04" w:rsidRDefault="00926BF1" w:rsidP="005F3F04">
            <w:pPr>
              <w:rPr>
                <w:rFonts w:ascii="Calibri" w:hAnsi="Calibri" w:cs="Calibri"/>
                <w:lang w:val="en-ID"/>
              </w:rPr>
            </w:pPr>
            <w:hyperlink r:id="rId20" w:history="1">
              <w:r w:rsidRPr="0019546C">
                <w:rPr>
                  <w:rStyle w:val="Hyperlink"/>
                  <w:rFonts w:ascii="Calibri" w:hAnsi="Calibri" w:cs="Calibri"/>
                  <w:lang w:val="en-ID"/>
                </w:rPr>
                <w:t>https://web.archive.org/web/20250730024436/https://www.climatebonds.net/files/documents/publications/Unlocking-green-bonds-in-Indonesia-a-guide-for-issuers-regulators-and-investors.pdf</w:t>
              </w:r>
            </w:hyperlink>
            <w:r>
              <w:rPr>
                <w:rFonts w:ascii="Calibri" w:hAnsi="Calibri" w:cs="Calibri"/>
                <w:lang w:val="en-ID"/>
              </w:rPr>
              <w:t xml:space="preserve"> </w:t>
            </w:r>
            <w:r w:rsidR="005F3F04">
              <w:rPr>
                <w:rFonts w:ascii="Calibri" w:hAnsi="Calibri" w:cs="Calibri"/>
                <w:lang w:val="en-ID"/>
              </w:rPr>
              <w:t xml:space="preserve"> </w:t>
            </w: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vAlign w:val="center"/>
          </w:tcPr>
          <w:p w14:paraId="7A9EC3B9" w14:textId="0E69A290" w:rsidR="001F30DE" w:rsidRPr="00C37D48" w:rsidRDefault="00B86BFC" w:rsidP="00C37D48">
            <w:pPr>
              <w:rPr>
                <w:rFonts w:ascii="Calibri" w:hAnsi="Calibri" w:cs="Calibri"/>
              </w:rPr>
            </w:pPr>
            <w:r>
              <w:rPr>
                <w:rFonts w:ascii="Calibri" w:hAnsi="Calibri" w:cs="Calibri"/>
              </w:rPr>
              <w:t>X</w:t>
            </w: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lastRenderedPageBreak/>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vAlign w:val="center"/>
          </w:tcPr>
          <w:p w14:paraId="0CD89C5A" w14:textId="2F8486B6" w:rsidR="001F30DE" w:rsidRPr="00C37D48" w:rsidRDefault="00B86BFC" w:rsidP="00C37D48">
            <w:pPr>
              <w:rPr>
                <w:rFonts w:ascii="Calibri" w:hAnsi="Calibri" w:cs="Calibri"/>
              </w:rPr>
            </w:pPr>
            <w:r>
              <w:rPr>
                <w:rFonts w:ascii="Calibri" w:hAnsi="Calibri" w:cs="Calibri"/>
              </w:rPr>
              <w:t xml:space="preserve">No known cases of sanctions placed. </w:t>
            </w: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vAlign w:val="center"/>
          </w:tcPr>
          <w:p w14:paraId="650EC57F" w14:textId="54EDA753" w:rsidR="001F30DE" w:rsidRPr="00C37D48" w:rsidRDefault="00892B8F" w:rsidP="00C37D48">
            <w:pPr>
              <w:rPr>
                <w:rFonts w:ascii="Calibri" w:hAnsi="Calibri" w:cs="Calibri"/>
              </w:rPr>
            </w:pPr>
            <w:r>
              <w:rPr>
                <w:rFonts w:ascii="Calibri" w:hAnsi="Calibri" w:cs="Calibri"/>
              </w:rPr>
              <w:t>X</w:t>
            </w: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vAlign w:val="center"/>
          </w:tcPr>
          <w:p w14:paraId="6646114E" w14:textId="0B92A40A"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vAlign w:val="center"/>
          </w:tcPr>
          <w:p w14:paraId="28D1B86F" w14:textId="5E4CD08F" w:rsidR="005F05EF" w:rsidRPr="005F05EF" w:rsidRDefault="005F05EF" w:rsidP="005F05EF">
            <w:pPr>
              <w:rPr>
                <w:rFonts w:ascii="Calibri" w:hAnsi="Calibri" w:cs="Calibri"/>
                <w:lang w:val="en-ID"/>
              </w:rPr>
            </w:pPr>
            <w:r w:rsidRPr="005F05EF">
              <w:rPr>
                <w:rFonts w:ascii="Calibri" w:hAnsi="Calibri" w:cs="Calibri"/>
                <w:b/>
                <w:bCs/>
                <w:lang w:val="en-ID"/>
              </w:rPr>
              <w:t>X =</w:t>
            </w:r>
            <w:r w:rsidRPr="005F05EF">
              <w:rPr>
                <w:rFonts w:ascii="Calibri" w:hAnsi="Calibri" w:cs="Calibri"/>
                <w:lang w:val="en-ID"/>
              </w:rPr>
              <w:t xml:space="preserve"> Not exactly a transition plan. However, Issuers or Issuing Parties </w:t>
            </w:r>
            <w:r>
              <w:rPr>
                <w:rFonts w:ascii="Calibri" w:hAnsi="Calibri" w:cs="Calibri"/>
                <w:lang w:val="en-ID"/>
              </w:rPr>
              <w:t xml:space="preserve">are required to submit </w:t>
            </w:r>
            <w:r w:rsidRPr="005F05EF">
              <w:rPr>
                <w:rFonts w:ascii="Calibri" w:hAnsi="Calibri" w:cs="Calibri"/>
                <w:lang w:val="en-ID"/>
              </w:rPr>
              <w:t>reports containing information provided periodically after the issuance of Environmental EBUS, Social EBUS, Sustainability EBUS, and/or Sukuk Waqf. These reports aim to ensure that the business activities and/or other activities underlying the issuance of the said Securities are beneficial to the environment, help address or mitigate social issues, and/or provide benefits to the targeted population.</w:t>
            </w:r>
          </w:p>
          <w:p w14:paraId="618ECA8A" w14:textId="1947B99F" w:rsidR="004F48E8" w:rsidRPr="005F05EF" w:rsidRDefault="005F05EF" w:rsidP="00C37D48">
            <w:pPr>
              <w:rPr>
                <w:rFonts w:ascii="Calibri" w:hAnsi="Calibri" w:cs="Calibri"/>
                <w:lang w:val="en-ID"/>
              </w:rPr>
            </w:pPr>
            <w:r w:rsidRPr="005F05EF">
              <w:rPr>
                <w:rFonts w:ascii="Calibri" w:hAnsi="Calibri" w:cs="Calibri"/>
                <w:lang w:val="en-ID"/>
              </w:rPr>
              <w:t xml:space="preserve">Recipients of sustainability-based debt instruments or sukuk </w:t>
            </w:r>
            <w:r>
              <w:rPr>
                <w:rFonts w:ascii="Calibri" w:hAnsi="Calibri" w:cs="Calibri"/>
                <w:lang w:val="en-ID"/>
              </w:rPr>
              <w:t xml:space="preserve">are also required to </w:t>
            </w:r>
            <w:r w:rsidRPr="005F05EF">
              <w:rPr>
                <w:rFonts w:ascii="Calibri" w:hAnsi="Calibri" w:cs="Calibri"/>
                <w:lang w:val="en-ID"/>
              </w:rPr>
              <w:t>develop action plans for their projects, and it must be ensured that these plans deliver environmental benefits and are not altered from their original purpose.</w:t>
            </w: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lastRenderedPageBreak/>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vAlign w:val="center"/>
          </w:tcPr>
          <w:p w14:paraId="2D632371" w14:textId="51F4EFBC"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vAlign w:val="center"/>
          </w:tcPr>
          <w:p w14:paraId="2A717B70" w14:textId="40F41A35" w:rsidR="000A1365" w:rsidRPr="00C37D48" w:rsidRDefault="0046176C" w:rsidP="00C37D48">
            <w:pPr>
              <w:rPr>
                <w:rFonts w:ascii="Calibri" w:hAnsi="Calibri" w:cs="Calibri"/>
              </w:rPr>
            </w:pPr>
            <w:r>
              <w:rPr>
                <w:rFonts w:ascii="Calibri" w:hAnsi="Calibri" w:cs="Calibri"/>
              </w:rPr>
              <w:t>X</w:t>
            </w: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vAlign w:val="center"/>
          </w:tcPr>
          <w:p w14:paraId="5E31BCF6" w14:textId="06A1ED53"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2879941E" w14:textId="77777777" w:rsidR="00850F36" w:rsidRPr="00C37D48" w:rsidRDefault="00850F36" w:rsidP="00C37D48">
            <w:pPr>
              <w:rPr>
                <w:rFonts w:ascii="Calibri" w:hAnsi="Calibri" w:cs="Calibri"/>
              </w:rPr>
            </w:pPr>
          </w:p>
        </w:tc>
        <w:tc>
          <w:tcPr>
            <w:tcW w:w="1456" w:type="dxa"/>
            <w:vAlign w:val="center"/>
          </w:tcPr>
          <w:p w14:paraId="5B340908" w14:textId="77777777" w:rsidR="00850F36" w:rsidRPr="00C37D48" w:rsidRDefault="00850F36" w:rsidP="00C37D48">
            <w:pPr>
              <w:rPr>
                <w:rFonts w:ascii="Calibri" w:hAnsi="Calibri" w:cs="Calibri"/>
              </w:rPr>
            </w:pPr>
          </w:p>
        </w:tc>
        <w:tc>
          <w:tcPr>
            <w:tcW w:w="1334" w:type="dxa"/>
            <w:vAlign w:val="center"/>
          </w:tcPr>
          <w:p w14:paraId="764B5257" w14:textId="2B76E5BF" w:rsidR="00850F36" w:rsidRPr="00C37D48" w:rsidRDefault="0046176C" w:rsidP="00C37D48">
            <w:pPr>
              <w:rPr>
                <w:rFonts w:ascii="Calibri" w:hAnsi="Calibri" w:cs="Calibri"/>
              </w:rPr>
            </w:pPr>
            <w:r>
              <w:rPr>
                <w:rFonts w:ascii="Calibri" w:hAnsi="Calibri" w:cs="Calibri"/>
              </w:rPr>
              <w:t>X</w:t>
            </w: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361C9F96" w14:textId="77777777" w:rsidR="00850F36" w:rsidRPr="00C37D48" w:rsidRDefault="00850F36" w:rsidP="00C37D48">
            <w:pPr>
              <w:rPr>
                <w:rFonts w:ascii="Calibri" w:hAnsi="Calibri" w:cs="Calibri"/>
              </w:rPr>
            </w:pPr>
          </w:p>
        </w:tc>
        <w:tc>
          <w:tcPr>
            <w:tcW w:w="1456" w:type="dxa"/>
            <w:vAlign w:val="center"/>
          </w:tcPr>
          <w:p w14:paraId="0322FE29" w14:textId="77777777" w:rsidR="00850F36" w:rsidRPr="00C37D48" w:rsidRDefault="00850F36" w:rsidP="00C37D48">
            <w:pPr>
              <w:rPr>
                <w:rFonts w:ascii="Calibri" w:hAnsi="Calibri" w:cs="Calibri"/>
              </w:rPr>
            </w:pPr>
          </w:p>
        </w:tc>
        <w:tc>
          <w:tcPr>
            <w:tcW w:w="1334" w:type="dxa"/>
            <w:vAlign w:val="center"/>
          </w:tcPr>
          <w:p w14:paraId="707D1500" w14:textId="0B588836" w:rsidR="00850F36" w:rsidRPr="00C37D48" w:rsidRDefault="0046176C" w:rsidP="00C37D48">
            <w:pPr>
              <w:rPr>
                <w:rFonts w:ascii="Calibri" w:hAnsi="Calibri" w:cs="Calibri"/>
              </w:rPr>
            </w:pPr>
            <w:r>
              <w:rPr>
                <w:rFonts w:ascii="Calibri" w:hAnsi="Calibri" w:cs="Calibri"/>
              </w:rPr>
              <w:t>X</w:t>
            </w: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vAlign w:val="center"/>
          </w:tcPr>
          <w:p w14:paraId="32FA2691" w14:textId="77777777" w:rsidR="00850F36" w:rsidRPr="00C37D48" w:rsidRDefault="00850F36" w:rsidP="00C37D48">
            <w:pPr>
              <w:rPr>
                <w:rFonts w:ascii="Calibri" w:hAnsi="Calibri" w:cs="Calibri"/>
              </w:rPr>
            </w:pPr>
          </w:p>
        </w:tc>
        <w:tc>
          <w:tcPr>
            <w:tcW w:w="1456" w:type="dxa"/>
            <w:vAlign w:val="center"/>
          </w:tcPr>
          <w:p w14:paraId="41A659E6" w14:textId="77777777" w:rsidR="00850F36" w:rsidRPr="00C37D48" w:rsidRDefault="00850F36" w:rsidP="00C37D48">
            <w:pPr>
              <w:rPr>
                <w:rFonts w:ascii="Calibri" w:hAnsi="Calibri" w:cs="Calibri"/>
              </w:rPr>
            </w:pPr>
          </w:p>
        </w:tc>
        <w:tc>
          <w:tcPr>
            <w:tcW w:w="1334" w:type="dxa"/>
            <w:vAlign w:val="center"/>
          </w:tcPr>
          <w:p w14:paraId="25D3A280" w14:textId="5E6E3F74" w:rsidR="00850F36" w:rsidRPr="00C37D48" w:rsidRDefault="0046176C" w:rsidP="00C37D48">
            <w:pPr>
              <w:rPr>
                <w:rFonts w:ascii="Calibri" w:hAnsi="Calibri" w:cs="Calibri"/>
              </w:rPr>
            </w:pPr>
            <w:r>
              <w:rPr>
                <w:rFonts w:ascii="Calibri" w:hAnsi="Calibri" w:cs="Calibri"/>
              </w:rPr>
              <w:t>X</w:t>
            </w: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vAlign w:val="center"/>
          </w:tcPr>
          <w:p w14:paraId="22909139" w14:textId="77777777" w:rsidR="00850F36" w:rsidRPr="00C37D48" w:rsidRDefault="00850F36" w:rsidP="00C37D48">
            <w:pPr>
              <w:rPr>
                <w:rFonts w:ascii="Calibri" w:hAnsi="Calibri" w:cs="Calibri"/>
              </w:rPr>
            </w:pPr>
          </w:p>
        </w:tc>
        <w:tc>
          <w:tcPr>
            <w:tcW w:w="1456" w:type="dxa"/>
            <w:vAlign w:val="center"/>
          </w:tcPr>
          <w:p w14:paraId="1F1FF9DF" w14:textId="77777777" w:rsidR="00850F36" w:rsidRPr="00C37D48" w:rsidRDefault="00850F36" w:rsidP="00C37D48">
            <w:pPr>
              <w:rPr>
                <w:rFonts w:ascii="Calibri" w:hAnsi="Calibri" w:cs="Calibri"/>
              </w:rPr>
            </w:pPr>
          </w:p>
        </w:tc>
        <w:tc>
          <w:tcPr>
            <w:tcW w:w="1334" w:type="dxa"/>
            <w:vAlign w:val="center"/>
          </w:tcPr>
          <w:p w14:paraId="28C1A266" w14:textId="46853C0D" w:rsidR="00850F36" w:rsidRPr="00C37D48" w:rsidRDefault="0046176C" w:rsidP="00C37D48">
            <w:pPr>
              <w:rPr>
                <w:rFonts w:ascii="Calibri" w:hAnsi="Calibri" w:cs="Calibri"/>
              </w:rPr>
            </w:pPr>
            <w:r>
              <w:rPr>
                <w:rFonts w:ascii="Calibri" w:hAnsi="Calibri" w:cs="Calibri"/>
              </w:rPr>
              <w:t>X</w:t>
            </w: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55DC6D41" w14:textId="77777777" w:rsidR="00850F36" w:rsidRPr="00C37D48" w:rsidRDefault="00850F36" w:rsidP="00C37D48">
            <w:pPr>
              <w:rPr>
                <w:rFonts w:ascii="Calibri" w:hAnsi="Calibri" w:cs="Calibri"/>
              </w:rPr>
            </w:pPr>
          </w:p>
        </w:tc>
        <w:tc>
          <w:tcPr>
            <w:tcW w:w="1456" w:type="dxa"/>
            <w:vAlign w:val="center"/>
          </w:tcPr>
          <w:p w14:paraId="04582DFC" w14:textId="77777777" w:rsidR="00850F36" w:rsidRPr="00C37D48" w:rsidRDefault="00850F36" w:rsidP="00C37D48">
            <w:pPr>
              <w:rPr>
                <w:rFonts w:ascii="Calibri" w:hAnsi="Calibri" w:cs="Calibri"/>
              </w:rPr>
            </w:pPr>
          </w:p>
        </w:tc>
        <w:tc>
          <w:tcPr>
            <w:tcW w:w="1334" w:type="dxa"/>
            <w:vAlign w:val="center"/>
          </w:tcPr>
          <w:p w14:paraId="45E8C815" w14:textId="005DA2AE" w:rsidR="00850F36" w:rsidRPr="00C37D48" w:rsidRDefault="0046176C" w:rsidP="00C37D48">
            <w:pPr>
              <w:rPr>
                <w:rFonts w:ascii="Calibri" w:hAnsi="Calibri" w:cs="Calibri"/>
              </w:rPr>
            </w:pPr>
            <w:r>
              <w:rPr>
                <w:rFonts w:ascii="Calibri" w:hAnsi="Calibri" w:cs="Calibri"/>
              </w:rPr>
              <w:t>X</w:t>
            </w: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vAlign w:val="center"/>
          </w:tcPr>
          <w:p w14:paraId="343F607C" w14:textId="77777777" w:rsidR="00850F36" w:rsidRPr="00C37D48" w:rsidRDefault="00850F36" w:rsidP="00C37D48">
            <w:pPr>
              <w:rPr>
                <w:rFonts w:ascii="Calibri" w:hAnsi="Calibri" w:cs="Calibri"/>
              </w:rPr>
            </w:pPr>
          </w:p>
        </w:tc>
        <w:tc>
          <w:tcPr>
            <w:tcW w:w="1456" w:type="dxa"/>
            <w:vAlign w:val="center"/>
          </w:tcPr>
          <w:p w14:paraId="7E653E8C" w14:textId="77777777" w:rsidR="00850F36" w:rsidRPr="00C37D48" w:rsidRDefault="00850F36" w:rsidP="00C37D48">
            <w:pPr>
              <w:rPr>
                <w:rFonts w:ascii="Calibri" w:hAnsi="Calibri" w:cs="Calibri"/>
              </w:rPr>
            </w:pPr>
          </w:p>
        </w:tc>
        <w:tc>
          <w:tcPr>
            <w:tcW w:w="1334" w:type="dxa"/>
            <w:vAlign w:val="center"/>
          </w:tcPr>
          <w:p w14:paraId="0D1D8855" w14:textId="2336AC87" w:rsidR="00850F36" w:rsidRPr="00C37D48" w:rsidRDefault="0046176C" w:rsidP="00C37D48">
            <w:pPr>
              <w:rPr>
                <w:rFonts w:ascii="Calibri" w:hAnsi="Calibri" w:cs="Calibri"/>
              </w:rPr>
            </w:pPr>
            <w:r>
              <w:rPr>
                <w:rFonts w:ascii="Calibri" w:hAnsi="Calibri" w:cs="Calibri"/>
              </w:rPr>
              <w:t>X</w:t>
            </w: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vAlign w:val="center"/>
          </w:tcPr>
          <w:p w14:paraId="63F3786E" w14:textId="77777777" w:rsidR="00850F36" w:rsidRPr="00C37D48" w:rsidRDefault="00850F36" w:rsidP="00C37D48">
            <w:pPr>
              <w:rPr>
                <w:rFonts w:ascii="Calibri" w:hAnsi="Calibri" w:cs="Calibri"/>
              </w:rPr>
            </w:pPr>
          </w:p>
        </w:tc>
        <w:tc>
          <w:tcPr>
            <w:tcW w:w="1456" w:type="dxa"/>
            <w:vAlign w:val="center"/>
          </w:tcPr>
          <w:p w14:paraId="0E60101F" w14:textId="77777777" w:rsidR="00850F36" w:rsidRPr="00C37D48" w:rsidRDefault="00850F36" w:rsidP="00C37D48">
            <w:pPr>
              <w:rPr>
                <w:rFonts w:ascii="Calibri" w:hAnsi="Calibri" w:cs="Calibri"/>
              </w:rPr>
            </w:pPr>
          </w:p>
        </w:tc>
        <w:tc>
          <w:tcPr>
            <w:tcW w:w="1334" w:type="dxa"/>
            <w:vAlign w:val="center"/>
          </w:tcPr>
          <w:p w14:paraId="165727EB" w14:textId="03857D2E" w:rsidR="00850F36" w:rsidRPr="00C37D48" w:rsidRDefault="0046176C" w:rsidP="00C37D48">
            <w:pPr>
              <w:rPr>
                <w:rFonts w:ascii="Calibri" w:hAnsi="Calibri" w:cs="Calibri"/>
              </w:rPr>
            </w:pPr>
            <w:r>
              <w:rPr>
                <w:rFonts w:ascii="Calibri" w:hAnsi="Calibri" w:cs="Calibri"/>
              </w:rPr>
              <w:t>X</w:t>
            </w: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vAlign w:val="center"/>
          </w:tcPr>
          <w:p w14:paraId="3D30302F" w14:textId="77777777" w:rsidR="00850F36" w:rsidRPr="00C37D48" w:rsidRDefault="00850F36" w:rsidP="00C37D48">
            <w:pPr>
              <w:rPr>
                <w:rFonts w:ascii="Calibri" w:hAnsi="Calibri" w:cs="Calibri"/>
              </w:rPr>
            </w:pPr>
          </w:p>
        </w:tc>
        <w:tc>
          <w:tcPr>
            <w:tcW w:w="1456" w:type="dxa"/>
            <w:vAlign w:val="center"/>
          </w:tcPr>
          <w:p w14:paraId="7CB53F7B" w14:textId="77777777" w:rsidR="00850F36" w:rsidRPr="00C37D48" w:rsidRDefault="00850F36" w:rsidP="00C37D48">
            <w:pPr>
              <w:rPr>
                <w:rFonts w:ascii="Calibri" w:hAnsi="Calibri" w:cs="Calibri"/>
              </w:rPr>
            </w:pPr>
          </w:p>
        </w:tc>
        <w:tc>
          <w:tcPr>
            <w:tcW w:w="1334" w:type="dxa"/>
            <w:vAlign w:val="center"/>
          </w:tcPr>
          <w:p w14:paraId="50514BAB" w14:textId="3320102C" w:rsidR="00850F36" w:rsidRPr="00C37D48" w:rsidRDefault="0046176C" w:rsidP="00C37D48">
            <w:pPr>
              <w:rPr>
                <w:rFonts w:ascii="Calibri" w:hAnsi="Calibri" w:cs="Calibri"/>
              </w:rPr>
            </w:pPr>
            <w:r>
              <w:rPr>
                <w:rFonts w:ascii="Calibri" w:hAnsi="Calibri" w:cs="Calibri"/>
              </w:rPr>
              <w:t>X</w:t>
            </w: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vAlign w:val="center"/>
          </w:tcPr>
          <w:p w14:paraId="306FB458" w14:textId="77777777" w:rsidR="00850F36" w:rsidRPr="00C37D48" w:rsidRDefault="00850F36" w:rsidP="00C37D48">
            <w:pPr>
              <w:rPr>
                <w:rFonts w:ascii="Calibri" w:hAnsi="Calibri" w:cs="Calibri"/>
              </w:rPr>
            </w:pPr>
          </w:p>
        </w:tc>
        <w:tc>
          <w:tcPr>
            <w:tcW w:w="1456" w:type="dxa"/>
            <w:vAlign w:val="center"/>
          </w:tcPr>
          <w:p w14:paraId="48666C62" w14:textId="77777777" w:rsidR="00850F36" w:rsidRPr="00C37D48" w:rsidRDefault="00850F36" w:rsidP="00C37D48">
            <w:pPr>
              <w:rPr>
                <w:rFonts w:ascii="Calibri" w:hAnsi="Calibri" w:cs="Calibri"/>
              </w:rPr>
            </w:pPr>
          </w:p>
        </w:tc>
        <w:tc>
          <w:tcPr>
            <w:tcW w:w="1334" w:type="dxa"/>
            <w:vAlign w:val="center"/>
          </w:tcPr>
          <w:p w14:paraId="1C58D255" w14:textId="7019463E" w:rsidR="00850F36" w:rsidRPr="00C37D48" w:rsidRDefault="0046176C" w:rsidP="00C37D48">
            <w:pPr>
              <w:rPr>
                <w:rFonts w:ascii="Calibri" w:hAnsi="Calibri" w:cs="Calibri"/>
              </w:rPr>
            </w:pPr>
            <w:r>
              <w:rPr>
                <w:rFonts w:ascii="Calibri" w:hAnsi="Calibri" w:cs="Calibri"/>
              </w:rPr>
              <w:t>X</w:t>
            </w: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vAlign w:val="center"/>
          </w:tcPr>
          <w:p w14:paraId="7059B640" w14:textId="77777777" w:rsidR="00850F36" w:rsidRPr="00C37D48" w:rsidRDefault="00850F36" w:rsidP="00C37D48">
            <w:pPr>
              <w:rPr>
                <w:rFonts w:ascii="Calibri" w:hAnsi="Calibri" w:cs="Calibri"/>
              </w:rPr>
            </w:pPr>
          </w:p>
        </w:tc>
        <w:tc>
          <w:tcPr>
            <w:tcW w:w="1456" w:type="dxa"/>
            <w:vAlign w:val="center"/>
          </w:tcPr>
          <w:p w14:paraId="3CB19ED3" w14:textId="77777777" w:rsidR="00850F36" w:rsidRPr="00C37D48" w:rsidRDefault="00850F36" w:rsidP="00C37D48">
            <w:pPr>
              <w:rPr>
                <w:rFonts w:ascii="Calibri" w:hAnsi="Calibri" w:cs="Calibri"/>
              </w:rPr>
            </w:pPr>
          </w:p>
        </w:tc>
        <w:tc>
          <w:tcPr>
            <w:tcW w:w="1334" w:type="dxa"/>
            <w:vAlign w:val="center"/>
          </w:tcPr>
          <w:p w14:paraId="0526DBF3" w14:textId="14A8A5B2" w:rsidR="00850F36" w:rsidRPr="00C37D48" w:rsidRDefault="0046176C" w:rsidP="00C37D48">
            <w:pPr>
              <w:rPr>
                <w:rFonts w:ascii="Calibri" w:hAnsi="Calibri" w:cs="Calibri"/>
              </w:rPr>
            </w:pPr>
            <w:r>
              <w:rPr>
                <w:rFonts w:ascii="Calibri" w:hAnsi="Calibri" w:cs="Calibri"/>
              </w:rPr>
              <w:t>X</w:t>
            </w: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vAlign w:val="center"/>
          </w:tcPr>
          <w:p w14:paraId="565FCA2B" w14:textId="77777777" w:rsidR="00850F36" w:rsidRPr="00C37D48" w:rsidRDefault="00850F36" w:rsidP="00C37D48">
            <w:pPr>
              <w:rPr>
                <w:rFonts w:ascii="Calibri" w:hAnsi="Calibri" w:cs="Calibri"/>
              </w:rPr>
            </w:pPr>
          </w:p>
        </w:tc>
        <w:tc>
          <w:tcPr>
            <w:tcW w:w="1456" w:type="dxa"/>
            <w:vAlign w:val="center"/>
          </w:tcPr>
          <w:p w14:paraId="33DBBD59" w14:textId="77777777" w:rsidR="00850F36" w:rsidRPr="00C37D48" w:rsidRDefault="00850F36" w:rsidP="00C37D48">
            <w:pPr>
              <w:rPr>
                <w:rFonts w:ascii="Calibri" w:hAnsi="Calibri" w:cs="Calibri"/>
              </w:rPr>
            </w:pPr>
          </w:p>
        </w:tc>
        <w:tc>
          <w:tcPr>
            <w:tcW w:w="1334" w:type="dxa"/>
            <w:vAlign w:val="center"/>
          </w:tcPr>
          <w:p w14:paraId="0FFBBE20" w14:textId="24E96A2B" w:rsidR="00850F36" w:rsidRPr="00C37D48" w:rsidRDefault="0046176C" w:rsidP="00C37D48">
            <w:pPr>
              <w:rPr>
                <w:rFonts w:ascii="Calibri" w:hAnsi="Calibri" w:cs="Calibri"/>
              </w:rPr>
            </w:pPr>
            <w:r>
              <w:rPr>
                <w:rFonts w:ascii="Calibri" w:hAnsi="Calibri" w:cs="Calibri"/>
              </w:rPr>
              <w:t>X</w:t>
            </w: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vAlign w:val="center"/>
          </w:tcPr>
          <w:p w14:paraId="42C90297" w14:textId="77777777" w:rsidR="00850F36" w:rsidRPr="00C37D48" w:rsidRDefault="00850F36" w:rsidP="00C37D48">
            <w:pPr>
              <w:rPr>
                <w:rFonts w:ascii="Calibri" w:hAnsi="Calibri" w:cs="Calibri"/>
              </w:rPr>
            </w:pPr>
          </w:p>
        </w:tc>
        <w:tc>
          <w:tcPr>
            <w:tcW w:w="1456" w:type="dxa"/>
            <w:vAlign w:val="center"/>
          </w:tcPr>
          <w:p w14:paraId="3475209D" w14:textId="77777777" w:rsidR="00850F36" w:rsidRPr="00C37D48" w:rsidRDefault="00850F36" w:rsidP="00C37D48">
            <w:pPr>
              <w:rPr>
                <w:rFonts w:ascii="Calibri" w:hAnsi="Calibri" w:cs="Calibri"/>
              </w:rPr>
            </w:pPr>
          </w:p>
        </w:tc>
        <w:tc>
          <w:tcPr>
            <w:tcW w:w="1334" w:type="dxa"/>
            <w:vAlign w:val="center"/>
          </w:tcPr>
          <w:p w14:paraId="0C710500" w14:textId="299AB88F" w:rsidR="00850F36" w:rsidRPr="00C37D48" w:rsidRDefault="0046176C" w:rsidP="00C37D48">
            <w:pPr>
              <w:rPr>
                <w:rFonts w:ascii="Calibri" w:hAnsi="Calibri" w:cs="Calibri"/>
              </w:rPr>
            </w:pPr>
            <w:r>
              <w:rPr>
                <w:rFonts w:ascii="Calibri" w:hAnsi="Calibri" w:cs="Calibri"/>
              </w:rPr>
              <w:t>X</w:t>
            </w: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vAlign w:val="center"/>
          </w:tcPr>
          <w:p w14:paraId="09AA8CB7" w14:textId="77777777" w:rsidR="00850F36" w:rsidRPr="00C37D48" w:rsidRDefault="00850F36" w:rsidP="00C37D48">
            <w:pPr>
              <w:rPr>
                <w:rFonts w:ascii="Calibri" w:hAnsi="Calibri" w:cs="Calibri"/>
              </w:rPr>
            </w:pPr>
          </w:p>
        </w:tc>
        <w:tc>
          <w:tcPr>
            <w:tcW w:w="1456" w:type="dxa"/>
            <w:vAlign w:val="center"/>
          </w:tcPr>
          <w:p w14:paraId="6EE4F476" w14:textId="77777777" w:rsidR="00850F36" w:rsidRPr="00C37D48" w:rsidRDefault="00850F36" w:rsidP="00C37D48">
            <w:pPr>
              <w:rPr>
                <w:rFonts w:ascii="Calibri" w:hAnsi="Calibri" w:cs="Calibri"/>
              </w:rPr>
            </w:pPr>
          </w:p>
        </w:tc>
        <w:tc>
          <w:tcPr>
            <w:tcW w:w="1334" w:type="dxa"/>
            <w:vAlign w:val="center"/>
          </w:tcPr>
          <w:p w14:paraId="6083449B" w14:textId="2FA6FD9F" w:rsidR="00850F36" w:rsidRPr="00C37D48" w:rsidRDefault="0046176C" w:rsidP="00C37D48">
            <w:pPr>
              <w:rPr>
                <w:rFonts w:ascii="Calibri" w:hAnsi="Calibri" w:cs="Calibri"/>
              </w:rPr>
            </w:pPr>
            <w:r>
              <w:rPr>
                <w:rFonts w:ascii="Calibri" w:hAnsi="Calibri" w:cs="Calibri"/>
              </w:rPr>
              <w:t>X</w:t>
            </w: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vAlign w:val="center"/>
          </w:tcPr>
          <w:p w14:paraId="20CA8168" w14:textId="53895494"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6AA2C145" w14:textId="5292EA64" w:rsidR="000A1365" w:rsidRPr="00C37D48" w:rsidRDefault="006D7792" w:rsidP="00C37D48">
            <w:pPr>
              <w:rPr>
                <w:rFonts w:ascii="Calibri" w:hAnsi="Calibri" w:cs="Calibri"/>
              </w:rPr>
            </w:pPr>
            <w:r>
              <w:rPr>
                <w:rFonts w:ascii="Calibri" w:hAnsi="Calibri" w:cs="Calibri"/>
              </w:rPr>
              <w:t>X</w:t>
            </w: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44BEBD2C" w14:textId="779700B9" w:rsidR="00C81DE5" w:rsidRPr="00C37D48" w:rsidRDefault="006D7792" w:rsidP="00C37D48">
            <w:pPr>
              <w:rPr>
                <w:rFonts w:ascii="Calibri" w:hAnsi="Calibri" w:cs="Calibri"/>
              </w:rPr>
            </w:pPr>
            <w:r>
              <w:rPr>
                <w:rFonts w:ascii="Calibri" w:hAnsi="Calibri" w:cs="Calibri"/>
              </w:rPr>
              <w:t>X</w:t>
            </w: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lastRenderedPageBreak/>
              <w:t>2.2</w:t>
            </w:r>
            <w:r w:rsidR="00274B22" w:rsidRPr="00C37D48">
              <w:rPr>
                <w:rFonts w:ascii="Calibri" w:hAnsi="Calibri" w:cs="Calibri"/>
              </w:rPr>
              <w:t>3</w:t>
            </w:r>
            <w:r w:rsidRPr="00C37D48">
              <w:rPr>
                <w:rFonts w:ascii="Calibri" w:hAnsi="Calibri" w:cs="Calibri"/>
              </w:rPr>
              <w:t>.3</w:t>
            </w:r>
          </w:p>
        </w:tc>
        <w:tc>
          <w:tcPr>
            <w:tcW w:w="5812" w:type="dxa"/>
            <w:gridSpan w:val="3"/>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2393A141"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vAlign w:val="center"/>
          </w:tcPr>
          <w:p w14:paraId="61BE3C33" w14:textId="0BAC461C" w:rsidR="000A1365" w:rsidRPr="00C37D48" w:rsidRDefault="006D7792" w:rsidP="00C37D48">
            <w:pPr>
              <w:rPr>
                <w:rFonts w:ascii="Calibri" w:hAnsi="Calibri" w:cs="Calibri"/>
              </w:rPr>
            </w:pPr>
            <w:r>
              <w:rPr>
                <w:rFonts w:ascii="Calibri" w:hAnsi="Calibri" w:cs="Calibri"/>
              </w:rPr>
              <w:t>X</w:t>
            </w: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vAlign w:val="center"/>
          </w:tcPr>
          <w:p w14:paraId="11E30939" w14:textId="2CCCB541" w:rsidR="000A1365" w:rsidRPr="00C37D48" w:rsidRDefault="006D7792" w:rsidP="00C37D48">
            <w:pPr>
              <w:rPr>
                <w:rFonts w:ascii="Calibri" w:hAnsi="Calibri" w:cs="Calibri"/>
              </w:rPr>
            </w:pPr>
            <w:r>
              <w:rPr>
                <w:rFonts w:ascii="Calibri" w:hAnsi="Calibri" w:cs="Calibri"/>
              </w:rPr>
              <w:t>X</w:t>
            </w: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91E8370"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vAlign w:val="center"/>
          </w:tcPr>
          <w:p w14:paraId="512FE71D" w14:textId="3CB2E721" w:rsidR="000A1365" w:rsidRPr="00C37D48" w:rsidRDefault="006D7792" w:rsidP="00C37D48">
            <w:pPr>
              <w:rPr>
                <w:rFonts w:ascii="Calibri" w:hAnsi="Calibri" w:cs="Calibri"/>
              </w:rPr>
            </w:pPr>
            <w:r>
              <w:rPr>
                <w:rFonts w:ascii="Calibri" w:hAnsi="Calibri" w:cs="Calibri"/>
              </w:rPr>
              <w:t>X</w:t>
            </w: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6A774EEB" w14:textId="2CA7BF17" w:rsidR="000A1365" w:rsidRPr="00C37D48" w:rsidRDefault="006D7792" w:rsidP="00C37D48">
            <w:pPr>
              <w:rPr>
                <w:rFonts w:ascii="Calibri" w:hAnsi="Calibri" w:cs="Calibri"/>
              </w:rPr>
            </w:pPr>
            <w:r>
              <w:rPr>
                <w:rFonts w:ascii="Calibri" w:hAnsi="Calibri" w:cs="Calibri"/>
              </w:rPr>
              <w:t>X</w:t>
            </w: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051EE206" w14:textId="637B8CA5" w:rsidR="00D9431B" w:rsidRPr="00C37D48" w:rsidRDefault="006D7792" w:rsidP="00C37D48">
            <w:pPr>
              <w:rPr>
                <w:rFonts w:ascii="Calibri" w:hAnsi="Calibri" w:cs="Calibri"/>
              </w:rPr>
            </w:pPr>
            <w:r>
              <w:rPr>
                <w:rFonts w:ascii="Calibri" w:hAnsi="Calibri" w:cs="Calibri"/>
              </w:rPr>
              <w:t>X</w:t>
            </w: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6F0787FD"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138B67D9"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vAlign w:val="center"/>
          </w:tcPr>
          <w:p w14:paraId="42115DBB" w14:textId="345C9507" w:rsidR="00890032" w:rsidRPr="00C37D48" w:rsidRDefault="0046176C" w:rsidP="00C37D48">
            <w:pPr>
              <w:rPr>
                <w:rFonts w:ascii="Calibri" w:hAnsi="Calibri" w:cs="Calibri"/>
              </w:rPr>
            </w:pPr>
            <w:r>
              <w:rPr>
                <w:rFonts w:ascii="Calibri" w:hAnsi="Calibri" w:cs="Calibri"/>
              </w:rPr>
              <w:t>X</w:t>
            </w: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vAlign w:val="center"/>
          </w:tcPr>
          <w:p w14:paraId="089BA419" w14:textId="3DC0F399"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0891A0A" w:rsidR="003618D4" w:rsidRPr="00C37D48" w:rsidRDefault="0046176C" w:rsidP="00C37D48">
            <w:pPr>
              <w:rPr>
                <w:rFonts w:ascii="Calibri" w:hAnsi="Calibri" w:cs="Calibri"/>
              </w:rPr>
            </w:pPr>
            <w:r>
              <w:rPr>
                <w:rFonts w:ascii="Calibri" w:hAnsi="Calibri" w:cs="Calibri"/>
              </w:rPr>
              <w:t>X</w:t>
            </w: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06B8DEA8" w:rsidR="003618D4" w:rsidRPr="00C37D48" w:rsidRDefault="0046176C" w:rsidP="00C37D48">
            <w:pPr>
              <w:rPr>
                <w:rFonts w:ascii="Calibri" w:hAnsi="Calibri" w:cs="Calibri"/>
              </w:rPr>
            </w:pPr>
            <w:r>
              <w:rPr>
                <w:rFonts w:ascii="Calibri" w:hAnsi="Calibri" w:cs="Calibri"/>
              </w:rPr>
              <w:t>X</w:t>
            </w: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7D429185" w:rsidR="003618D4" w:rsidRPr="00C37D48" w:rsidRDefault="0046176C" w:rsidP="00C37D48">
            <w:pPr>
              <w:rPr>
                <w:rFonts w:ascii="Calibri" w:hAnsi="Calibri" w:cs="Calibri"/>
              </w:rPr>
            </w:pPr>
            <w:r>
              <w:rPr>
                <w:rFonts w:ascii="Calibri" w:hAnsi="Calibri" w:cs="Calibri"/>
              </w:rPr>
              <w:t>X</w:t>
            </w: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7DD587E2" w:rsidR="003618D4" w:rsidRPr="00C37D48" w:rsidRDefault="0046176C" w:rsidP="00C37D48">
            <w:pPr>
              <w:rPr>
                <w:rFonts w:ascii="Calibri" w:hAnsi="Calibri" w:cs="Calibri"/>
              </w:rPr>
            </w:pPr>
            <w:r>
              <w:rPr>
                <w:rFonts w:ascii="Calibri" w:hAnsi="Calibri" w:cs="Calibri"/>
              </w:rPr>
              <w:t>X</w:t>
            </w: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03CAF0F3" w:rsidR="003618D4" w:rsidRPr="00C37D48" w:rsidRDefault="0046176C" w:rsidP="00C37D48">
            <w:pPr>
              <w:rPr>
                <w:rFonts w:ascii="Calibri" w:hAnsi="Calibri" w:cs="Calibri"/>
              </w:rPr>
            </w:pPr>
            <w:r>
              <w:rPr>
                <w:rFonts w:ascii="Calibri" w:hAnsi="Calibri" w:cs="Calibri"/>
              </w:rPr>
              <w:t>X</w:t>
            </w: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1B8A59E5" w:rsidR="003618D4" w:rsidRPr="00C37D48" w:rsidRDefault="0046176C" w:rsidP="00C37D48">
            <w:pPr>
              <w:rPr>
                <w:rFonts w:ascii="Calibri" w:hAnsi="Calibri" w:cs="Calibri"/>
              </w:rPr>
            </w:pPr>
            <w:r>
              <w:rPr>
                <w:rFonts w:ascii="Calibri" w:hAnsi="Calibri" w:cs="Calibri"/>
              </w:rPr>
              <w:t>X</w:t>
            </w: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vAlign w:val="center"/>
          </w:tcPr>
          <w:p w14:paraId="475AE54F" w14:textId="135309AA"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50B01C20" w14:textId="3EFA545B" w:rsidR="00E7486E" w:rsidRPr="00C37D48" w:rsidRDefault="006D7792" w:rsidP="00C37D48">
            <w:pPr>
              <w:rPr>
                <w:rFonts w:ascii="Calibri" w:hAnsi="Calibri" w:cs="Calibri"/>
              </w:rPr>
            </w:pPr>
            <w:r>
              <w:rPr>
                <w:rFonts w:ascii="Calibri" w:hAnsi="Calibri" w:cs="Calibri"/>
              </w:rPr>
              <w:t>X</w:t>
            </w: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2BAB17F4"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4C59AFA5" w14:textId="359B6D53" w:rsidR="00671EA4" w:rsidRPr="00C37D48" w:rsidRDefault="006D7792" w:rsidP="00C37D48">
            <w:pPr>
              <w:rPr>
                <w:rFonts w:ascii="Calibri" w:hAnsi="Calibri" w:cs="Calibri"/>
              </w:rPr>
            </w:pPr>
            <w:r>
              <w:rPr>
                <w:rFonts w:ascii="Calibri" w:hAnsi="Calibri" w:cs="Calibri"/>
              </w:rPr>
              <w:t>X</w:t>
            </w: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14FC9894"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F6F898D"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6A9CE0F8"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5F1959F4"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lastRenderedPageBreak/>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4A23EBC9"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08B6067F"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56D6C7A6"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840610D"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241D18A1" w:rsidR="00B610C2" w:rsidRPr="00610F28" w:rsidRDefault="0046176C" w:rsidP="00610F28">
            <w:pPr>
              <w:rPr>
                <w:rFonts w:ascii="Calibri" w:hAnsi="Calibri" w:cs="Calibri"/>
              </w:rPr>
            </w:pPr>
            <w:r>
              <w:rPr>
                <w:rFonts w:ascii="Calibri" w:hAnsi="Calibri" w:cs="Calibri"/>
              </w:rPr>
              <w:t>X</w:t>
            </w: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0B468B5E" w:rsidR="00B610C2" w:rsidRPr="00610F28" w:rsidRDefault="0046176C" w:rsidP="00610F28">
            <w:pPr>
              <w:rPr>
                <w:rFonts w:ascii="Calibri" w:hAnsi="Calibri" w:cs="Calibri"/>
              </w:rPr>
            </w:pPr>
            <w:r>
              <w:rPr>
                <w:rFonts w:ascii="Calibri" w:hAnsi="Calibri" w:cs="Calibri"/>
              </w:rPr>
              <w:t>X</w:t>
            </w: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2C5D5570" w:rsidR="00B610C2" w:rsidRPr="00610F28" w:rsidRDefault="0046176C" w:rsidP="00610F28">
            <w:pPr>
              <w:rPr>
                <w:rFonts w:ascii="Calibri" w:hAnsi="Calibri" w:cs="Calibri"/>
              </w:rPr>
            </w:pPr>
            <w:r>
              <w:rPr>
                <w:rFonts w:ascii="Calibri" w:hAnsi="Calibri" w:cs="Calibri"/>
              </w:rPr>
              <w:t>X</w:t>
            </w: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13A37DAF" w:rsidR="00B610C2" w:rsidRPr="00610F28" w:rsidRDefault="0046176C" w:rsidP="00610F28">
            <w:pPr>
              <w:rPr>
                <w:rFonts w:ascii="Calibri" w:hAnsi="Calibri" w:cs="Calibri"/>
              </w:rPr>
            </w:pPr>
            <w:r>
              <w:rPr>
                <w:rFonts w:ascii="Calibri" w:hAnsi="Calibri" w:cs="Calibri"/>
              </w:rPr>
              <w:t>X</w:t>
            </w: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02196DCE" w:rsidR="00B610C2" w:rsidRPr="00610F28" w:rsidRDefault="0046176C" w:rsidP="00610F28">
            <w:pPr>
              <w:rPr>
                <w:rFonts w:ascii="Calibri" w:hAnsi="Calibri" w:cs="Calibri"/>
              </w:rPr>
            </w:pPr>
            <w:r>
              <w:rPr>
                <w:rFonts w:ascii="Calibri" w:hAnsi="Calibri" w:cs="Calibri"/>
              </w:rPr>
              <w:t>X</w:t>
            </w: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24963966" w:rsidR="00B610C2" w:rsidRPr="00610F28" w:rsidRDefault="0046176C" w:rsidP="00610F28">
            <w:pPr>
              <w:rPr>
                <w:rFonts w:ascii="Calibri" w:hAnsi="Calibri" w:cs="Calibri"/>
              </w:rPr>
            </w:pPr>
            <w:r>
              <w:rPr>
                <w:rFonts w:ascii="Calibri" w:hAnsi="Calibri" w:cs="Calibri"/>
              </w:rPr>
              <w:t>X</w:t>
            </w: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3224D56D" w:rsidR="00B610C2" w:rsidRPr="00610F28" w:rsidRDefault="0046176C" w:rsidP="00610F28">
            <w:pPr>
              <w:rPr>
                <w:rFonts w:ascii="Calibri" w:hAnsi="Calibri" w:cs="Calibri"/>
              </w:rPr>
            </w:pPr>
            <w:r>
              <w:rPr>
                <w:rFonts w:ascii="Calibri" w:hAnsi="Calibri" w:cs="Calibri"/>
              </w:rPr>
              <w:t>X</w:t>
            </w: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4A1C7922" w:rsidR="00B610C2" w:rsidRPr="00610F28" w:rsidRDefault="0046176C" w:rsidP="00610F28">
            <w:pPr>
              <w:rPr>
                <w:rFonts w:ascii="Calibri" w:hAnsi="Calibri" w:cs="Calibri"/>
              </w:rPr>
            </w:pPr>
            <w:r>
              <w:rPr>
                <w:rFonts w:ascii="Calibri" w:hAnsi="Calibri" w:cs="Calibri"/>
              </w:rPr>
              <w:t>X</w:t>
            </w: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415FF294" w:rsidR="00B610C2" w:rsidRPr="00610F28" w:rsidRDefault="0046176C" w:rsidP="00610F28">
            <w:pPr>
              <w:rPr>
                <w:rFonts w:ascii="Calibri" w:hAnsi="Calibri" w:cs="Calibri"/>
              </w:rPr>
            </w:pPr>
            <w:r>
              <w:rPr>
                <w:rFonts w:ascii="Calibri" w:hAnsi="Calibri" w:cs="Calibri"/>
              </w:rPr>
              <w:t>X</w:t>
            </w: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18EA00D1" w:rsidR="00B610C2" w:rsidRPr="00610F28" w:rsidRDefault="0046176C" w:rsidP="00610F28">
            <w:pPr>
              <w:rPr>
                <w:rFonts w:ascii="Calibri" w:hAnsi="Calibri" w:cs="Calibri"/>
              </w:rPr>
            </w:pPr>
            <w:r>
              <w:rPr>
                <w:rFonts w:ascii="Calibri" w:hAnsi="Calibri" w:cs="Calibri"/>
              </w:rPr>
              <w:t>X</w:t>
            </w: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642E1EBA" w:rsidR="00B610C2" w:rsidRPr="00610F28" w:rsidRDefault="0046176C" w:rsidP="00610F28">
            <w:pPr>
              <w:rPr>
                <w:rFonts w:ascii="Calibri" w:hAnsi="Calibri" w:cs="Calibri"/>
              </w:rPr>
            </w:pPr>
            <w:r>
              <w:rPr>
                <w:rFonts w:ascii="Calibri" w:hAnsi="Calibri" w:cs="Calibri"/>
              </w:rPr>
              <w:t>X</w:t>
            </w: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lastRenderedPageBreak/>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409C9094"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60D79F61"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vAlign w:val="center"/>
          </w:tcPr>
          <w:p w14:paraId="6BA41E6D" w14:textId="77777777" w:rsidR="00C66EE0" w:rsidRPr="00610F28" w:rsidRDefault="00C66EE0" w:rsidP="00610F28">
            <w:pPr>
              <w:rPr>
                <w:rFonts w:ascii="Calibri" w:hAnsi="Calibri" w:cs="Calibri"/>
              </w:rPr>
            </w:pPr>
          </w:p>
        </w:tc>
      </w:tr>
      <w:tr w:rsidR="00241257" w:rsidRPr="003D48C1"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vAlign w:val="center"/>
          </w:tcPr>
          <w:p w14:paraId="7AD6A409" w14:textId="77777777" w:rsidR="00092534" w:rsidRPr="00CF2E7C" w:rsidRDefault="00092534" w:rsidP="00CF2E7C">
            <w:pPr>
              <w:rPr>
                <w:rFonts w:ascii="Calibri" w:hAnsi="Calibri" w:cs="Calibri"/>
              </w:rPr>
            </w:pPr>
          </w:p>
        </w:tc>
      </w:tr>
      <w:tr w:rsidR="00092534" w:rsidRPr="003D48C1"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vAlign w:val="center"/>
          </w:tcPr>
          <w:p w14:paraId="5A15330D" w14:textId="77777777" w:rsidR="00DD292A" w:rsidRPr="00CF2E7C" w:rsidRDefault="00DD292A" w:rsidP="00CF2E7C">
            <w:pPr>
              <w:rPr>
                <w:rFonts w:ascii="Calibri" w:hAnsi="Calibri" w:cs="Calibri"/>
              </w:rPr>
            </w:pPr>
          </w:p>
        </w:tc>
      </w:tr>
      <w:tr w:rsidR="00DD292A" w:rsidRPr="00BA5DD4"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21"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2"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vAlign w:val="center"/>
          </w:tcPr>
          <w:p w14:paraId="63712777" w14:textId="77777777" w:rsidR="002F0752" w:rsidRPr="00CF2E7C" w:rsidRDefault="002F0752" w:rsidP="00CF2E7C">
            <w:pPr>
              <w:rPr>
                <w:rFonts w:ascii="Calibri" w:hAnsi="Calibri" w:cs="Calibri"/>
              </w:rPr>
            </w:pPr>
          </w:p>
        </w:tc>
      </w:tr>
      <w:tr w:rsidR="002F0752" w:rsidRPr="00BA5DD4"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3"/>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3BF4462" w14:textId="77777777" w:rsidR="007B690B" w:rsidRDefault="007B690B" w:rsidP="00874E39">
      <w:r>
        <w:separator/>
      </w:r>
    </w:p>
  </w:endnote>
  <w:endnote w:type="continuationSeparator" w:id="0">
    <w:p w14:paraId="4E2DDA34" w14:textId="77777777" w:rsidR="007B690B" w:rsidRDefault="007B690B" w:rsidP="00874E39">
      <w:r>
        <w:continuationSeparator/>
      </w:r>
    </w:p>
  </w:endnote>
  <w:endnote w:type="continuationNotice" w:id="1">
    <w:p w14:paraId="64824F23" w14:textId="77777777" w:rsidR="007B690B" w:rsidRDefault="007B690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96D4A21" w14:textId="77777777" w:rsidR="007B690B" w:rsidRDefault="007B690B" w:rsidP="00874E39">
      <w:r>
        <w:separator/>
      </w:r>
    </w:p>
  </w:footnote>
  <w:footnote w:type="continuationSeparator" w:id="0">
    <w:p w14:paraId="00DD53B3" w14:textId="77777777" w:rsidR="007B690B" w:rsidRDefault="007B690B" w:rsidP="00874E39">
      <w:r>
        <w:continuationSeparator/>
      </w:r>
    </w:p>
  </w:footnote>
  <w:footnote w:type="continuationNotice" w:id="1">
    <w:p w14:paraId="59418A74" w14:textId="77777777" w:rsidR="007B690B" w:rsidRDefault="007B690B"/>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536A9A"/>
    <w:multiLevelType w:val="multilevel"/>
    <w:tmpl w:val="AB1259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0992628A"/>
    <w:multiLevelType w:val="multilevel"/>
    <w:tmpl w:val="0C1628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7"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8"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9"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10"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11"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2"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3"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4"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5"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6"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7"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8"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9"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20"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1"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2"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3"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4"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5"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6"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7"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8"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9"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30"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1"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2"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3"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4"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5"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6"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7"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8"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40"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1"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2"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3"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4"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5"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6"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7"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8"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9"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8"/>
  </w:num>
  <w:num w:numId="2" w16cid:durableId="482308869">
    <w:abstractNumId w:val="25"/>
  </w:num>
  <w:num w:numId="3" w16cid:durableId="690952733">
    <w:abstractNumId w:val="43"/>
  </w:num>
  <w:num w:numId="4" w16cid:durableId="1689330127">
    <w:abstractNumId w:val="1"/>
  </w:num>
  <w:num w:numId="5" w16cid:durableId="401291788">
    <w:abstractNumId w:val="30"/>
  </w:num>
  <w:num w:numId="6" w16cid:durableId="1276788690">
    <w:abstractNumId w:val="15"/>
  </w:num>
  <w:num w:numId="7" w16cid:durableId="566767730">
    <w:abstractNumId w:val="22"/>
  </w:num>
  <w:num w:numId="8" w16cid:durableId="1780710843">
    <w:abstractNumId w:val="36"/>
  </w:num>
  <w:num w:numId="9" w16cid:durableId="1685783054">
    <w:abstractNumId w:val="3"/>
  </w:num>
  <w:num w:numId="10" w16cid:durableId="950551298">
    <w:abstractNumId w:val="33"/>
  </w:num>
  <w:num w:numId="11" w16cid:durableId="1591960799">
    <w:abstractNumId w:val="49"/>
  </w:num>
  <w:num w:numId="12" w16cid:durableId="1344891410">
    <w:abstractNumId w:val="11"/>
  </w:num>
  <w:num w:numId="13" w16cid:durableId="2023899324">
    <w:abstractNumId w:val="13"/>
  </w:num>
  <w:num w:numId="14" w16cid:durableId="430587014">
    <w:abstractNumId w:val="9"/>
  </w:num>
  <w:num w:numId="15" w16cid:durableId="1742869061">
    <w:abstractNumId w:val="32"/>
  </w:num>
  <w:num w:numId="16" w16cid:durableId="1996450437">
    <w:abstractNumId w:val="21"/>
  </w:num>
  <w:num w:numId="17" w16cid:durableId="1529031027">
    <w:abstractNumId w:val="10"/>
  </w:num>
  <w:num w:numId="18" w16cid:durableId="568614617">
    <w:abstractNumId w:val="19"/>
  </w:num>
  <w:num w:numId="19" w16cid:durableId="1530605858">
    <w:abstractNumId w:val="44"/>
  </w:num>
  <w:num w:numId="20" w16cid:durableId="1328172586">
    <w:abstractNumId w:val="17"/>
  </w:num>
  <w:num w:numId="21" w16cid:durableId="184827816">
    <w:abstractNumId w:val="29"/>
  </w:num>
  <w:num w:numId="22" w16cid:durableId="1785346599">
    <w:abstractNumId w:val="35"/>
  </w:num>
  <w:num w:numId="23" w16cid:durableId="1294288901">
    <w:abstractNumId w:val="28"/>
  </w:num>
  <w:num w:numId="24" w16cid:durableId="1603957975">
    <w:abstractNumId w:val="46"/>
  </w:num>
  <w:num w:numId="25" w16cid:durableId="1659531047">
    <w:abstractNumId w:val="45"/>
  </w:num>
  <w:num w:numId="26" w16cid:durableId="752774403">
    <w:abstractNumId w:val="24"/>
  </w:num>
  <w:num w:numId="27" w16cid:durableId="347872198">
    <w:abstractNumId w:val="8"/>
  </w:num>
  <w:num w:numId="28" w16cid:durableId="537133110">
    <w:abstractNumId w:val="14"/>
  </w:num>
  <w:num w:numId="29" w16cid:durableId="1632318729">
    <w:abstractNumId w:val="47"/>
  </w:num>
  <w:num w:numId="30" w16cid:durableId="1268124074">
    <w:abstractNumId w:val="34"/>
  </w:num>
  <w:num w:numId="31" w16cid:durableId="887108748">
    <w:abstractNumId w:val="31"/>
  </w:num>
  <w:num w:numId="32" w16cid:durableId="1826125712">
    <w:abstractNumId w:val="37"/>
  </w:num>
  <w:num w:numId="33" w16cid:durableId="823357978">
    <w:abstractNumId w:val="41"/>
  </w:num>
  <w:num w:numId="34" w16cid:durableId="1092120443">
    <w:abstractNumId w:val="40"/>
  </w:num>
  <w:num w:numId="35" w16cid:durableId="124861188">
    <w:abstractNumId w:val="12"/>
  </w:num>
  <w:num w:numId="36" w16cid:durableId="1952588250">
    <w:abstractNumId w:val="39"/>
  </w:num>
  <w:num w:numId="37" w16cid:durableId="1712027211">
    <w:abstractNumId w:val="6"/>
  </w:num>
  <w:num w:numId="38" w16cid:durableId="2033795929">
    <w:abstractNumId w:val="2"/>
  </w:num>
  <w:num w:numId="39" w16cid:durableId="1238595582">
    <w:abstractNumId w:val="26"/>
  </w:num>
  <w:num w:numId="40" w16cid:durableId="416558262">
    <w:abstractNumId w:val="23"/>
  </w:num>
  <w:num w:numId="41" w16cid:durableId="1543715517">
    <w:abstractNumId w:val="20"/>
  </w:num>
  <w:num w:numId="42" w16cid:durableId="452208391">
    <w:abstractNumId w:val="16"/>
  </w:num>
  <w:num w:numId="43" w16cid:durableId="260340070">
    <w:abstractNumId w:val="0"/>
  </w:num>
  <w:num w:numId="44" w16cid:durableId="1639914969">
    <w:abstractNumId w:val="7"/>
  </w:num>
  <w:num w:numId="45" w16cid:durableId="1554191892">
    <w:abstractNumId w:val="42"/>
  </w:num>
  <w:num w:numId="46" w16cid:durableId="947811845">
    <w:abstractNumId w:val="48"/>
  </w:num>
  <w:num w:numId="47" w16cid:durableId="342588554">
    <w:abstractNumId w:val="27"/>
  </w:num>
  <w:num w:numId="48" w16cid:durableId="318391343">
    <w:abstractNumId w:val="38"/>
  </w:num>
  <w:num w:numId="49" w16cid:durableId="2127116037">
    <w:abstractNumId w:val="5"/>
  </w:num>
  <w:num w:numId="50" w16cid:durableId="679815201">
    <w:abstractNumId w:val="4"/>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7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1B"/>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1840"/>
    <w:rsid w:val="0025449C"/>
    <w:rsid w:val="002552C9"/>
    <w:rsid w:val="0025765F"/>
    <w:rsid w:val="00257732"/>
    <w:rsid w:val="00264CBC"/>
    <w:rsid w:val="0026588F"/>
    <w:rsid w:val="0026642F"/>
    <w:rsid w:val="002679A5"/>
    <w:rsid w:val="00267CBD"/>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61C"/>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8C1"/>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176C"/>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5AE8"/>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65B"/>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0E1"/>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05EF"/>
    <w:rsid w:val="005F1EF0"/>
    <w:rsid w:val="005F2454"/>
    <w:rsid w:val="005F2B91"/>
    <w:rsid w:val="005F2D73"/>
    <w:rsid w:val="005F2EA1"/>
    <w:rsid w:val="005F3137"/>
    <w:rsid w:val="005F3F04"/>
    <w:rsid w:val="005F444D"/>
    <w:rsid w:val="005F4B1C"/>
    <w:rsid w:val="005F4D8C"/>
    <w:rsid w:val="005F7A89"/>
    <w:rsid w:val="005F7AC4"/>
    <w:rsid w:val="00601397"/>
    <w:rsid w:val="0060224F"/>
    <w:rsid w:val="00602D74"/>
    <w:rsid w:val="0060378D"/>
    <w:rsid w:val="00603B3F"/>
    <w:rsid w:val="00604926"/>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6C39"/>
    <w:rsid w:val="00637FAE"/>
    <w:rsid w:val="0064023C"/>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D7792"/>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90B"/>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03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2B8F"/>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BF1"/>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6BFC"/>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5DD4"/>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185F"/>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30D6"/>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3F26"/>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4E"/>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050"/>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5D08"/>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 w:type="paragraph" w:styleId="NormalWeb">
    <w:name w:val="Normal (Web)"/>
    <w:basedOn w:val="Normal"/>
    <w:uiPriority w:val="99"/>
    <w:semiHidden/>
    <w:unhideWhenUsed/>
    <w:rsid w:val="005F3F04"/>
    <w:rPr>
      <w:rFonts w:ascii="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2410931">
      <w:bodyDiv w:val="1"/>
      <w:marLeft w:val="0"/>
      <w:marRight w:val="0"/>
      <w:marTop w:val="0"/>
      <w:marBottom w:val="0"/>
      <w:divBdr>
        <w:top w:val="none" w:sz="0" w:space="0" w:color="auto"/>
        <w:left w:val="none" w:sz="0" w:space="0" w:color="auto"/>
        <w:bottom w:val="none" w:sz="0" w:space="0" w:color="auto"/>
        <w:right w:val="none" w:sz="0" w:space="0" w:color="auto"/>
      </w:divBdr>
    </w:div>
    <w:div w:id="229310804">
      <w:bodyDiv w:val="1"/>
      <w:marLeft w:val="0"/>
      <w:marRight w:val="0"/>
      <w:marTop w:val="0"/>
      <w:marBottom w:val="0"/>
      <w:divBdr>
        <w:top w:val="none" w:sz="0" w:space="0" w:color="auto"/>
        <w:left w:val="none" w:sz="0" w:space="0" w:color="auto"/>
        <w:bottom w:val="none" w:sz="0" w:space="0" w:color="auto"/>
        <w:right w:val="none" w:sz="0" w:space="0" w:color="auto"/>
      </w:divBdr>
      <w:divsChild>
        <w:div w:id="736898725">
          <w:marLeft w:val="0"/>
          <w:marRight w:val="0"/>
          <w:marTop w:val="0"/>
          <w:marBottom w:val="0"/>
          <w:divBdr>
            <w:top w:val="none" w:sz="0" w:space="0" w:color="auto"/>
            <w:left w:val="none" w:sz="0" w:space="0" w:color="auto"/>
            <w:bottom w:val="none" w:sz="0" w:space="0" w:color="auto"/>
            <w:right w:val="none" w:sz="0" w:space="0" w:color="auto"/>
          </w:divBdr>
          <w:divsChild>
            <w:div w:id="1938361603">
              <w:marLeft w:val="0"/>
              <w:marRight w:val="0"/>
              <w:marTop w:val="0"/>
              <w:marBottom w:val="0"/>
              <w:divBdr>
                <w:top w:val="none" w:sz="0" w:space="0" w:color="auto"/>
                <w:left w:val="none" w:sz="0" w:space="0" w:color="auto"/>
                <w:bottom w:val="none" w:sz="0" w:space="0" w:color="auto"/>
                <w:right w:val="none" w:sz="0" w:space="0" w:color="auto"/>
              </w:divBdr>
              <w:divsChild>
                <w:div w:id="1361736695">
                  <w:marLeft w:val="0"/>
                  <w:marRight w:val="0"/>
                  <w:marTop w:val="0"/>
                  <w:marBottom w:val="0"/>
                  <w:divBdr>
                    <w:top w:val="none" w:sz="0" w:space="0" w:color="auto"/>
                    <w:left w:val="none" w:sz="0" w:space="0" w:color="auto"/>
                    <w:bottom w:val="none" w:sz="0" w:space="0" w:color="auto"/>
                    <w:right w:val="none" w:sz="0" w:space="0" w:color="auto"/>
                  </w:divBdr>
                  <w:divsChild>
                    <w:div w:id="1015500007">
                      <w:marLeft w:val="0"/>
                      <w:marRight w:val="0"/>
                      <w:marTop w:val="0"/>
                      <w:marBottom w:val="0"/>
                      <w:divBdr>
                        <w:top w:val="none" w:sz="0" w:space="0" w:color="auto"/>
                        <w:left w:val="none" w:sz="0" w:space="0" w:color="auto"/>
                        <w:bottom w:val="none" w:sz="0" w:space="0" w:color="auto"/>
                        <w:right w:val="none" w:sz="0" w:space="0" w:color="auto"/>
                      </w:divBdr>
                      <w:divsChild>
                        <w:div w:id="1463769800">
                          <w:marLeft w:val="0"/>
                          <w:marRight w:val="0"/>
                          <w:marTop w:val="0"/>
                          <w:marBottom w:val="0"/>
                          <w:divBdr>
                            <w:top w:val="none" w:sz="0" w:space="0" w:color="auto"/>
                            <w:left w:val="none" w:sz="0" w:space="0" w:color="auto"/>
                            <w:bottom w:val="none" w:sz="0" w:space="0" w:color="auto"/>
                            <w:right w:val="none" w:sz="0" w:space="0" w:color="auto"/>
                          </w:divBdr>
                          <w:divsChild>
                            <w:div w:id="653061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01672837">
                  <w:marLeft w:val="0"/>
                  <w:marRight w:val="0"/>
                  <w:marTop w:val="0"/>
                  <w:marBottom w:val="0"/>
                  <w:divBdr>
                    <w:top w:val="none" w:sz="0" w:space="0" w:color="auto"/>
                    <w:left w:val="none" w:sz="0" w:space="0" w:color="auto"/>
                    <w:bottom w:val="none" w:sz="0" w:space="0" w:color="auto"/>
                    <w:right w:val="none" w:sz="0" w:space="0" w:color="auto"/>
                  </w:divBdr>
                  <w:divsChild>
                    <w:div w:id="17964388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66225898">
      <w:bodyDiv w:val="1"/>
      <w:marLeft w:val="0"/>
      <w:marRight w:val="0"/>
      <w:marTop w:val="0"/>
      <w:marBottom w:val="0"/>
      <w:divBdr>
        <w:top w:val="none" w:sz="0" w:space="0" w:color="auto"/>
        <w:left w:val="none" w:sz="0" w:space="0" w:color="auto"/>
        <w:bottom w:val="none" w:sz="0" w:space="0" w:color="auto"/>
        <w:right w:val="none" w:sz="0" w:space="0" w:color="auto"/>
      </w:divBdr>
    </w:div>
    <w:div w:id="426197741">
      <w:bodyDiv w:val="1"/>
      <w:marLeft w:val="0"/>
      <w:marRight w:val="0"/>
      <w:marTop w:val="0"/>
      <w:marBottom w:val="0"/>
      <w:divBdr>
        <w:top w:val="none" w:sz="0" w:space="0" w:color="auto"/>
        <w:left w:val="none" w:sz="0" w:space="0" w:color="auto"/>
        <w:bottom w:val="none" w:sz="0" w:space="0" w:color="auto"/>
        <w:right w:val="none" w:sz="0" w:space="0" w:color="auto"/>
      </w:divBdr>
      <w:divsChild>
        <w:div w:id="1682657520">
          <w:marLeft w:val="0"/>
          <w:marRight w:val="0"/>
          <w:marTop w:val="0"/>
          <w:marBottom w:val="0"/>
          <w:divBdr>
            <w:top w:val="none" w:sz="0" w:space="0" w:color="auto"/>
            <w:left w:val="none" w:sz="0" w:space="0" w:color="auto"/>
            <w:bottom w:val="none" w:sz="0" w:space="0" w:color="auto"/>
            <w:right w:val="none" w:sz="0" w:space="0" w:color="auto"/>
          </w:divBdr>
          <w:divsChild>
            <w:div w:id="80878046">
              <w:marLeft w:val="0"/>
              <w:marRight w:val="0"/>
              <w:marTop w:val="0"/>
              <w:marBottom w:val="0"/>
              <w:divBdr>
                <w:top w:val="none" w:sz="0" w:space="0" w:color="auto"/>
                <w:left w:val="none" w:sz="0" w:space="0" w:color="auto"/>
                <w:bottom w:val="none" w:sz="0" w:space="0" w:color="auto"/>
                <w:right w:val="none" w:sz="0" w:space="0" w:color="auto"/>
              </w:divBdr>
              <w:divsChild>
                <w:div w:id="614554474">
                  <w:marLeft w:val="0"/>
                  <w:marRight w:val="0"/>
                  <w:marTop w:val="0"/>
                  <w:marBottom w:val="0"/>
                  <w:divBdr>
                    <w:top w:val="none" w:sz="0" w:space="0" w:color="auto"/>
                    <w:left w:val="none" w:sz="0" w:space="0" w:color="auto"/>
                    <w:bottom w:val="none" w:sz="0" w:space="0" w:color="auto"/>
                    <w:right w:val="none" w:sz="0" w:space="0" w:color="auto"/>
                  </w:divBdr>
                  <w:divsChild>
                    <w:div w:id="640158031">
                      <w:marLeft w:val="0"/>
                      <w:marRight w:val="0"/>
                      <w:marTop w:val="0"/>
                      <w:marBottom w:val="0"/>
                      <w:divBdr>
                        <w:top w:val="none" w:sz="0" w:space="0" w:color="auto"/>
                        <w:left w:val="none" w:sz="0" w:space="0" w:color="auto"/>
                        <w:bottom w:val="none" w:sz="0" w:space="0" w:color="auto"/>
                        <w:right w:val="none" w:sz="0" w:space="0" w:color="auto"/>
                      </w:divBdr>
                      <w:divsChild>
                        <w:div w:id="1551310070">
                          <w:marLeft w:val="0"/>
                          <w:marRight w:val="0"/>
                          <w:marTop w:val="0"/>
                          <w:marBottom w:val="0"/>
                          <w:divBdr>
                            <w:top w:val="none" w:sz="0" w:space="0" w:color="auto"/>
                            <w:left w:val="none" w:sz="0" w:space="0" w:color="auto"/>
                            <w:bottom w:val="none" w:sz="0" w:space="0" w:color="auto"/>
                            <w:right w:val="none" w:sz="0" w:space="0" w:color="auto"/>
                          </w:divBdr>
                          <w:divsChild>
                            <w:div w:id="15660678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57224807">
                  <w:marLeft w:val="0"/>
                  <w:marRight w:val="0"/>
                  <w:marTop w:val="0"/>
                  <w:marBottom w:val="0"/>
                  <w:divBdr>
                    <w:top w:val="none" w:sz="0" w:space="0" w:color="auto"/>
                    <w:left w:val="none" w:sz="0" w:space="0" w:color="auto"/>
                    <w:bottom w:val="none" w:sz="0" w:space="0" w:color="auto"/>
                    <w:right w:val="none" w:sz="0" w:space="0" w:color="auto"/>
                  </w:divBdr>
                  <w:divsChild>
                    <w:div w:id="3528094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26967879">
      <w:bodyDiv w:val="1"/>
      <w:marLeft w:val="0"/>
      <w:marRight w:val="0"/>
      <w:marTop w:val="0"/>
      <w:marBottom w:val="0"/>
      <w:divBdr>
        <w:top w:val="none" w:sz="0" w:space="0" w:color="auto"/>
        <w:left w:val="none" w:sz="0" w:space="0" w:color="auto"/>
        <w:bottom w:val="none" w:sz="0" w:space="0" w:color="auto"/>
        <w:right w:val="none" w:sz="0" w:space="0" w:color="auto"/>
      </w:divBdr>
      <w:divsChild>
        <w:div w:id="939680132">
          <w:marLeft w:val="0"/>
          <w:marRight w:val="0"/>
          <w:marTop w:val="0"/>
          <w:marBottom w:val="0"/>
          <w:divBdr>
            <w:top w:val="none" w:sz="0" w:space="0" w:color="auto"/>
            <w:left w:val="none" w:sz="0" w:space="0" w:color="auto"/>
            <w:bottom w:val="none" w:sz="0" w:space="0" w:color="auto"/>
            <w:right w:val="none" w:sz="0" w:space="0" w:color="auto"/>
          </w:divBdr>
          <w:divsChild>
            <w:div w:id="1728793760">
              <w:marLeft w:val="0"/>
              <w:marRight w:val="0"/>
              <w:marTop w:val="0"/>
              <w:marBottom w:val="0"/>
              <w:divBdr>
                <w:top w:val="none" w:sz="0" w:space="0" w:color="auto"/>
                <w:left w:val="none" w:sz="0" w:space="0" w:color="auto"/>
                <w:bottom w:val="none" w:sz="0" w:space="0" w:color="auto"/>
                <w:right w:val="none" w:sz="0" w:space="0" w:color="auto"/>
              </w:divBdr>
              <w:divsChild>
                <w:div w:id="1476145053">
                  <w:marLeft w:val="0"/>
                  <w:marRight w:val="0"/>
                  <w:marTop w:val="0"/>
                  <w:marBottom w:val="0"/>
                  <w:divBdr>
                    <w:top w:val="none" w:sz="0" w:space="0" w:color="auto"/>
                    <w:left w:val="none" w:sz="0" w:space="0" w:color="auto"/>
                    <w:bottom w:val="none" w:sz="0" w:space="0" w:color="auto"/>
                    <w:right w:val="none" w:sz="0" w:space="0" w:color="auto"/>
                  </w:divBdr>
                  <w:divsChild>
                    <w:div w:id="61173997">
                      <w:marLeft w:val="0"/>
                      <w:marRight w:val="0"/>
                      <w:marTop w:val="0"/>
                      <w:marBottom w:val="0"/>
                      <w:divBdr>
                        <w:top w:val="none" w:sz="0" w:space="0" w:color="auto"/>
                        <w:left w:val="none" w:sz="0" w:space="0" w:color="auto"/>
                        <w:bottom w:val="none" w:sz="0" w:space="0" w:color="auto"/>
                        <w:right w:val="none" w:sz="0" w:space="0" w:color="auto"/>
                      </w:divBdr>
                      <w:divsChild>
                        <w:div w:id="2107119314">
                          <w:marLeft w:val="0"/>
                          <w:marRight w:val="0"/>
                          <w:marTop w:val="0"/>
                          <w:marBottom w:val="0"/>
                          <w:divBdr>
                            <w:top w:val="none" w:sz="0" w:space="0" w:color="auto"/>
                            <w:left w:val="none" w:sz="0" w:space="0" w:color="auto"/>
                            <w:bottom w:val="none" w:sz="0" w:space="0" w:color="auto"/>
                            <w:right w:val="none" w:sz="0" w:space="0" w:color="auto"/>
                          </w:divBdr>
                          <w:divsChild>
                            <w:div w:id="20212712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00907179">
                  <w:marLeft w:val="0"/>
                  <w:marRight w:val="0"/>
                  <w:marTop w:val="0"/>
                  <w:marBottom w:val="0"/>
                  <w:divBdr>
                    <w:top w:val="none" w:sz="0" w:space="0" w:color="auto"/>
                    <w:left w:val="none" w:sz="0" w:space="0" w:color="auto"/>
                    <w:bottom w:val="none" w:sz="0" w:space="0" w:color="auto"/>
                    <w:right w:val="none" w:sz="0" w:space="0" w:color="auto"/>
                  </w:divBdr>
                  <w:divsChild>
                    <w:div w:id="10396247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73301383">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616302217">
      <w:bodyDiv w:val="1"/>
      <w:marLeft w:val="0"/>
      <w:marRight w:val="0"/>
      <w:marTop w:val="0"/>
      <w:marBottom w:val="0"/>
      <w:divBdr>
        <w:top w:val="none" w:sz="0" w:space="0" w:color="auto"/>
        <w:left w:val="none" w:sz="0" w:space="0" w:color="auto"/>
        <w:bottom w:val="none" w:sz="0" w:space="0" w:color="auto"/>
        <w:right w:val="none" w:sz="0" w:space="0" w:color="auto"/>
      </w:divBdr>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23396348">
      <w:bodyDiv w:val="1"/>
      <w:marLeft w:val="0"/>
      <w:marRight w:val="0"/>
      <w:marTop w:val="0"/>
      <w:marBottom w:val="0"/>
      <w:divBdr>
        <w:top w:val="none" w:sz="0" w:space="0" w:color="auto"/>
        <w:left w:val="none" w:sz="0" w:space="0" w:color="auto"/>
        <w:bottom w:val="none" w:sz="0" w:space="0" w:color="auto"/>
        <w:right w:val="none" w:sz="0" w:space="0" w:color="auto"/>
      </w:divBdr>
    </w:div>
    <w:div w:id="960186229">
      <w:bodyDiv w:val="1"/>
      <w:marLeft w:val="0"/>
      <w:marRight w:val="0"/>
      <w:marTop w:val="0"/>
      <w:marBottom w:val="0"/>
      <w:divBdr>
        <w:top w:val="none" w:sz="0" w:space="0" w:color="auto"/>
        <w:left w:val="none" w:sz="0" w:space="0" w:color="auto"/>
        <w:bottom w:val="none" w:sz="0" w:space="0" w:color="auto"/>
        <w:right w:val="none" w:sz="0" w:space="0" w:color="auto"/>
      </w:divBdr>
    </w:div>
    <w:div w:id="1134639646">
      <w:bodyDiv w:val="1"/>
      <w:marLeft w:val="0"/>
      <w:marRight w:val="0"/>
      <w:marTop w:val="0"/>
      <w:marBottom w:val="0"/>
      <w:divBdr>
        <w:top w:val="none" w:sz="0" w:space="0" w:color="auto"/>
        <w:left w:val="none" w:sz="0" w:space="0" w:color="auto"/>
        <w:bottom w:val="none" w:sz="0" w:space="0" w:color="auto"/>
        <w:right w:val="none" w:sz="0" w:space="0" w:color="auto"/>
      </w:divBdr>
      <w:divsChild>
        <w:div w:id="1067609264">
          <w:marLeft w:val="0"/>
          <w:marRight w:val="0"/>
          <w:marTop w:val="0"/>
          <w:marBottom w:val="0"/>
          <w:divBdr>
            <w:top w:val="none" w:sz="0" w:space="0" w:color="auto"/>
            <w:left w:val="none" w:sz="0" w:space="0" w:color="auto"/>
            <w:bottom w:val="none" w:sz="0" w:space="0" w:color="auto"/>
            <w:right w:val="none" w:sz="0" w:space="0" w:color="auto"/>
          </w:divBdr>
          <w:divsChild>
            <w:div w:id="512768940">
              <w:marLeft w:val="0"/>
              <w:marRight w:val="0"/>
              <w:marTop w:val="0"/>
              <w:marBottom w:val="0"/>
              <w:divBdr>
                <w:top w:val="none" w:sz="0" w:space="0" w:color="auto"/>
                <w:left w:val="none" w:sz="0" w:space="0" w:color="auto"/>
                <w:bottom w:val="none" w:sz="0" w:space="0" w:color="auto"/>
                <w:right w:val="none" w:sz="0" w:space="0" w:color="auto"/>
              </w:divBdr>
              <w:divsChild>
                <w:div w:id="292639584">
                  <w:marLeft w:val="0"/>
                  <w:marRight w:val="0"/>
                  <w:marTop w:val="0"/>
                  <w:marBottom w:val="0"/>
                  <w:divBdr>
                    <w:top w:val="none" w:sz="0" w:space="0" w:color="auto"/>
                    <w:left w:val="none" w:sz="0" w:space="0" w:color="auto"/>
                    <w:bottom w:val="none" w:sz="0" w:space="0" w:color="auto"/>
                    <w:right w:val="none" w:sz="0" w:space="0" w:color="auto"/>
                  </w:divBdr>
                  <w:divsChild>
                    <w:div w:id="492570812">
                      <w:marLeft w:val="0"/>
                      <w:marRight w:val="0"/>
                      <w:marTop w:val="0"/>
                      <w:marBottom w:val="0"/>
                      <w:divBdr>
                        <w:top w:val="none" w:sz="0" w:space="0" w:color="auto"/>
                        <w:left w:val="none" w:sz="0" w:space="0" w:color="auto"/>
                        <w:bottom w:val="none" w:sz="0" w:space="0" w:color="auto"/>
                        <w:right w:val="none" w:sz="0" w:space="0" w:color="auto"/>
                      </w:divBdr>
                      <w:divsChild>
                        <w:div w:id="1402678699">
                          <w:marLeft w:val="0"/>
                          <w:marRight w:val="0"/>
                          <w:marTop w:val="0"/>
                          <w:marBottom w:val="0"/>
                          <w:divBdr>
                            <w:top w:val="none" w:sz="0" w:space="0" w:color="auto"/>
                            <w:left w:val="none" w:sz="0" w:space="0" w:color="auto"/>
                            <w:bottom w:val="none" w:sz="0" w:space="0" w:color="auto"/>
                            <w:right w:val="none" w:sz="0" w:space="0" w:color="auto"/>
                          </w:divBdr>
                          <w:divsChild>
                            <w:div w:id="9349425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14485168">
                  <w:marLeft w:val="0"/>
                  <w:marRight w:val="0"/>
                  <w:marTop w:val="0"/>
                  <w:marBottom w:val="0"/>
                  <w:divBdr>
                    <w:top w:val="none" w:sz="0" w:space="0" w:color="auto"/>
                    <w:left w:val="none" w:sz="0" w:space="0" w:color="auto"/>
                    <w:bottom w:val="none" w:sz="0" w:space="0" w:color="auto"/>
                    <w:right w:val="none" w:sz="0" w:space="0" w:color="auto"/>
                  </w:divBdr>
                  <w:divsChild>
                    <w:div w:id="4174079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57457555">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34655714">
      <w:bodyDiv w:val="1"/>
      <w:marLeft w:val="0"/>
      <w:marRight w:val="0"/>
      <w:marTop w:val="0"/>
      <w:marBottom w:val="0"/>
      <w:divBdr>
        <w:top w:val="none" w:sz="0" w:space="0" w:color="auto"/>
        <w:left w:val="none" w:sz="0" w:space="0" w:color="auto"/>
        <w:bottom w:val="none" w:sz="0" w:space="0" w:color="auto"/>
        <w:right w:val="none" w:sz="0" w:space="0" w:color="auto"/>
      </w:divBdr>
      <w:divsChild>
        <w:div w:id="1685476360">
          <w:marLeft w:val="0"/>
          <w:marRight w:val="0"/>
          <w:marTop w:val="0"/>
          <w:marBottom w:val="0"/>
          <w:divBdr>
            <w:top w:val="none" w:sz="0" w:space="0" w:color="auto"/>
            <w:left w:val="none" w:sz="0" w:space="0" w:color="auto"/>
            <w:bottom w:val="none" w:sz="0" w:space="0" w:color="auto"/>
            <w:right w:val="none" w:sz="0" w:space="0" w:color="auto"/>
          </w:divBdr>
          <w:divsChild>
            <w:div w:id="206920182">
              <w:marLeft w:val="0"/>
              <w:marRight w:val="0"/>
              <w:marTop w:val="0"/>
              <w:marBottom w:val="0"/>
              <w:divBdr>
                <w:top w:val="none" w:sz="0" w:space="0" w:color="auto"/>
                <w:left w:val="none" w:sz="0" w:space="0" w:color="auto"/>
                <w:bottom w:val="none" w:sz="0" w:space="0" w:color="auto"/>
                <w:right w:val="none" w:sz="0" w:space="0" w:color="auto"/>
              </w:divBdr>
              <w:divsChild>
                <w:div w:id="776561236">
                  <w:marLeft w:val="0"/>
                  <w:marRight w:val="0"/>
                  <w:marTop w:val="0"/>
                  <w:marBottom w:val="0"/>
                  <w:divBdr>
                    <w:top w:val="none" w:sz="0" w:space="0" w:color="auto"/>
                    <w:left w:val="none" w:sz="0" w:space="0" w:color="auto"/>
                    <w:bottom w:val="none" w:sz="0" w:space="0" w:color="auto"/>
                    <w:right w:val="none" w:sz="0" w:space="0" w:color="auto"/>
                  </w:divBdr>
                  <w:divsChild>
                    <w:div w:id="1222791405">
                      <w:marLeft w:val="0"/>
                      <w:marRight w:val="0"/>
                      <w:marTop w:val="0"/>
                      <w:marBottom w:val="0"/>
                      <w:divBdr>
                        <w:top w:val="none" w:sz="0" w:space="0" w:color="auto"/>
                        <w:left w:val="none" w:sz="0" w:space="0" w:color="auto"/>
                        <w:bottom w:val="none" w:sz="0" w:space="0" w:color="auto"/>
                        <w:right w:val="none" w:sz="0" w:space="0" w:color="auto"/>
                      </w:divBdr>
                      <w:divsChild>
                        <w:div w:id="1264604598">
                          <w:marLeft w:val="0"/>
                          <w:marRight w:val="0"/>
                          <w:marTop w:val="0"/>
                          <w:marBottom w:val="0"/>
                          <w:divBdr>
                            <w:top w:val="none" w:sz="0" w:space="0" w:color="auto"/>
                            <w:left w:val="none" w:sz="0" w:space="0" w:color="auto"/>
                            <w:bottom w:val="none" w:sz="0" w:space="0" w:color="auto"/>
                            <w:right w:val="none" w:sz="0" w:space="0" w:color="auto"/>
                          </w:divBdr>
                          <w:divsChild>
                            <w:div w:id="15301393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24379082">
                  <w:marLeft w:val="0"/>
                  <w:marRight w:val="0"/>
                  <w:marTop w:val="0"/>
                  <w:marBottom w:val="0"/>
                  <w:divBdr>
                    <w:top w:val="none" w:sz="0" w:space="0" w:color="auto"/>
                    <w:left w:val="none" w:sz="0" w:space="0" w:color="auto"/>
                    <w:bottom w:val="none" w:sz="0" w:space="0" w:color="auto"/>
                    <w:right w:val="none" w:sz="0" w:space="0" w:color="auto"/>
                  </w:divBdr>
                  <w:divsChild>
                    <w:div w:id="11609965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79804566">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895071715">
      <w:bodyDiv w:val="1"/>
      <w:marLeft w:val="0"/>
      <w:marRight w:val="0"/>
      <w:marTop w:val="0"/>
      <w:marBottom w:val="0"/>
      <w:divBdr>
        <w:top w:val="none" w:sz="0" w:space="0" w:color="auto"/>
        <w:left w:val="none" w:sz="0" w:space="0" w:color="auto"/>
        <w:bottom w:val="none" w:sz="0" w:space="0" w:color="auto"/>
        <w:right w:val="none" w:sz="0" w:space="0" w:color="auto"/>
      </w:divBdr>
    </w:div>
    <w:div w:id="1921059163">
      <w:bodyDiv w:val="1"/>
      <w:marLeft w:val="0"/>
      <w:marRight w:val="0"/>
      <w:marTop w:val="0"/>
      <w:marBottom w:val="0"/>
      <w:divBdr>
        <w:top w:val="none" w:sz="0" w:space="0" w:color="auto"/>
        <w:left w:val="none" w:sz="0" w:space="0" w:color="auto"/>
        <w:bottom w:val="none" w:sz="0" w:space="0" w:color="auto"/>
        <w:right w:val="none" w:sz="0" w:space="0" w:color="auto"/>
      </w:divBdr>
    </w:div>
    <w:div w:id="1963874653">
      <w:bodyDiv w:val="1"/>
      <w:marLeft w:val="0"/>
      <w:marRight w:val="0"/>
      <w:marTop w:val="0"/>
      <w:marBottom w:val="0"/>
      <w:divBdr>
        <w:top w:val="none" w:sz="0" w:space="0" w:color="auto"/>
        <w:left w:val="none" w:sz="0" w:space="0" w:color="auto"/>
        <w:bottom w:val="none" w:sz="0" w:space="0" w:color="auto"/>
        <w:right w:val="none" w:sz="0" w:space="0" w:color="auto"/>
      </w:divBdr>
      <w:divsChild>
        <w:div w:id="483204842">
          <w:marLeft w:val="0"/>
          <w:marRight w:val="0"/>
          <w:marTop w:val="0"/>
          <w:marBottom w:val="0"/>
          <w:divBdr>
            <w:top w:val="none" w:sz="0" w:space="0" w:color="auto"/>
            <w:left w:val="none" w:sz="0" w:space="0" w:color="auto"/>
            <w:bottom w:val="none" w:sz="0" w:space="0" w:color="auto"/>
            <w:right w:val="none" w:sz="0" w:space="0" w:color="auto"/>
          </w:divBdr>
          <w:divsChild>
            <w:div w:id="1978871885">
              <w:marLeft w:val="0"/>
              <w:marRight w:val="0"/>
              <w:marTop w:val="0"/>
              <w:marBottom w:val="0"/>
              <w:divBdr>
                <w:top w:val="none" w:sz="0" w:space="0" w:color="auto"/>
                <w:left w:val="none" w:sz="0" w:space="0" w:color="auto"/>
                <w:bottom w:val="none" w:sz="0" w:space="0" w:color="auto"/>
                <w:right w:val="none" w:sz="0" w:space="0" w:color="auto"/>
              </w:divBdr>
              <w:divsChild>
                <w:div w:id="1551457177">
                  <w:marLeft w:val="0"/>
                  <w:marRight w:val="0"/>
                  <w:marTop w:val="0"/>
                  <w:marBottom w:val="0"/>
                  <w:divBdr>
                    <w:top w:val="none" w:sz="0" w:space="0" w:color="auto"/>
                    <w:left w:val="none" w:sz="0" w:space="0" w:color="auto"/>
                    <w:bottom w:val="none" w:sz="0" w:space="0" w:color="auto"/>
                    <w:right w:val="none" w:sz="0" w:space="0" w:color="auto"/>
                  </w:divBdr>
                  <w:divsChild>
                    <w:div w:id="208880627">
                      <w:marLeft w:val="0"/>
                      <w:marRight w:val="0"/>
                      <w:marTop w:val="0"/>
                      <w:marBottom w:val="0"/>
                      <w:divBdr>
                        <w:top w:val="none" w:sz="0" w:space="0" w:color="auto"/>
                        <w:left w:val="none" w:sz="0" w:space="0" w:color="auto"/>
                        <w:bottom w:val="none" w:sz="0" w:space="0" w:color="auto"/>
                        <w:right w:val="none" w:sz="0" w:space="0" w:color="auto"/>
                      </w:divBdr>
                      <w:divsChild>
                        <w:div w:id="418868899">
                          <w:marLeft w:val="0"/>
                          <w:marRight w:val="0"/>
                          <w:marTop w:val="0"/>
                          <w:marBottom w:val="0"/>
                          <w:divBdr>
                            <w:top w:val="none" w:sz="0" w:space="0" w:color="auto"/>
                            <w:left w:val="none" w:sz="0" w:space="0" w:color="auto"/>
                            <w:bottom w:val="none" w:sz="0" w:space="0" w:color="auto"/>
                            <w:right w:val="none" w:sz="0" w:space="0" w:color="auto"/>
                          </w:divBdr>
                          <w:divsChild>
                            <w:div w:id="19833911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27294340">
                  <w:marLeft w:val="0"/>
                  <w:marRight w:val="0"/>
                  <w:marTop w:val="0"/>
                  <w:marBottom w:val="0"/>
                  <w:divBdr>
                    <w:top w:val="none" w:sz="0" w:space="0" w:color="auto"/>
                    <w:left w:val="none" w:sz="0" w:space="0" w:color="auto"/>
                    <w:bottom w:val="none" w:sz="0" w:space="0" w:color="auto"/>
                    <w:right w:val="none" w:sz="0" w:space="0" w:color="auto"/>
                  </w:divBdr>
                  <w:divsChild>
                    <w:div w:id="2998927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484064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078286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eb.archive.org/web/20250730024015/https://market.bisnis.com/read/20250425/92/1872149/penerbitan-green-bond-ri-masih-minim-ojk-beberkan-masalahnya" TargetMode="External"/><Relationship Id="rId3" Type="http://schemas.openxmlformats.org/officeDocument/2006/relationships/customXml" Target="../customXml/item3.xml"/><Relationship Id="rId21" Type="http://schemas.openxmlformats.org/officeDocument/2006/relationships/hyperlink" Target="https://www.bis.org/fsi/fsibriefs18.pdf"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730024930/https://keuanganberkelanjutan.ojk.go.id/keuanganberkelanjutan/BE/uploads/peraturanuu/files/file_4d3c77fb-0785-429a-884a-8880b5250e78-23022025115558.pdf" TargetMode="External"/><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eb.archive.org/web/20250730024436/https://www.climatebonds.net/files/documents/publications/Unlocking-green-bonds-in-Indonesia-a-guide-for-issuers-regulators-and-investors.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header" Target="header2.xml"/><Relationship Id="rId10" Type="http://schemas.openxmlformats.org/officeDocument/2006/relationships/endnotes" Target="endnotes.xml"/><Relationship Id="rId19" Type="http://schemas.openxmlformats.org/officeDocument/2006/relationships/hyperlink" Target="https://web.archive.org/web/20250730024412/https://investasi.kontan.co.id/news/penerbitan-green-bond-di-indonesia-diprediksi-semakin-semarak"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yperlink" Target="https://www.fsb.org/uploads/P131022-1.pdf" TargetMode="Externa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2363</TotalTime>
  <Pages>1</Pages>
  <Words>22682</Words>
  <Characters>129290</Characters>
  <Application>Microsoft Office Word</Application>
  <DocSecurity>0</DocSecurity>
  <Lines>1077</Lines>
  <Paragraphs>303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151669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SSEK</cp:lastModifiedBy>
  <cp:revision>10</cp:revision>
  <cp:lastPrinted>2025-03-21T00:14:00Z</cp:lastPrinted>
  <dcterms:created xsi:type="dcterms:W3CDTF">2025-06-25T11:58:00Z</dcterms:created>
  <dcterms:modified xsi:type="dcterms:W3CDTF">2025-08-12T09:41:00Z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